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1"/>
        <w:spacing w:after="0"/>
        <w:rPr>
          <w:sz w:val="20"/>
          <w:szCs w:val="20"/>
          <w:color w:val="auto"/>
        </w:rPr>
      </w:pPr>
      <w:r>
        <w:rPr>
          <w:rFonts w:ascii="Arial" w:cs="Arial" w:eastAsia="Arial" w:hAnsi="Arial"/>
          <w:sz w:val="24"/>
          <w:szCs w:val="24"/>
          <w:color w:val="auto"/>
        </w:rPr>
        <w:t>Washington, D.C. 20549</w:t>
      </w:r>
    </w:p>
    <w:p>
      <w:pPr>
        <w:spacing w:after="0" w:line="223"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FORM 10-K</w:t>
      </w:r>
    </w:p>
    <w:p>
      <w:pPr>
        <w:spacing w:after="0" w:line="278" w:lineRule="exact"/>
        <w:rPr>
          <w:sz w:val="24"/>
          <w:szCs w:val="24"/>
          <w:color w:val="auto"/>
        </w:rPr>
      </w:pPr>
    </w:p>
    <w:p>
      <w:pPr>
        <w:ind w:left="4392" w:right="2460" w:hanging="4392"/>
        <w:spacing w:after="0" w:line="306" w:lineRule="auto"/>
        <w:tabs>
          <w:tab w:leader="none" w:pos="3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31, 2010</w:t>
      </w:r>
    </w:p>
    <w:p>
      <w:pPr>
        <w:spacing w:after="0" w:line="201" w:lineRule="exact"/>
        <w:rPr>
          <w:sz w:val="24"/>
          <w:szCs w:val="24"/>
          <w:color w:val="auto"/>
        </w:rPr>
      </w:pPr>
    </w:p>
    <w:p>
      <w:pPr>
        <w:ind w:left="4312" w:right="2100" w:hanging="4312"/>
        <w:spacing w:after="0" w:line="306" w:lineRule="auto"/>
        <w:tabs>
          <w:tab w:leader="none" w:pos="3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 to ____</w:t>
      </w:r>
    </w:p>
    <w:p>
      <w:pPr>
        <w:spacing w:after="0" w:line="188"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3327400</wp:posOffset>
            </wp:positionH>
            <wp:positionV relativeFrom="paragraph">
              <wp:posOffset>169545</wp:posOffset>
            </wp:positionV>
            <wp:extent cx="60007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07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4"/>
          <w:szCs w:val="24"/>
          <w:color w:val="auto"/>
        </w:rPr>
      </w:pPr>
    </w:p>
    <w:p>
      <w:pPr>
        <w:jc w:val="center"/>
        <w:ind w:right="-11"/>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392"/>
          </w:cols>
          <w:pgMar w:left="248" w:top="462" w:right="259" w:bottom="0" w:gutter="0" w:footer="0" w:header="0"/>
        </w:sectPr>
      </w:pPr>
    </w:p>
    <w:p>
      <w:pPr>
        <w:spacing w:after="0" w:line="232" w:lineRule="exact"/>
        <w:rPr>
          <w:sz w:val="24"/>
          <w:szCs w:val="24"/>
          <w:color w:val="auto"/>
        </w:rPr>
      </w:pPr>
    </w:p>
    <w:p>
      <w:pPr>
        <w:ind w:left="2372"/>
        <w:spacing w:after="0"/>
        <w:rPr>
          <w:sz w:val="20"/>
          <w:szCs w:val="20"/>
          <w:color w:val="auto"/>
        </w:rPr>
      </w:pPr>
      <w:r>
        <w:rPr>
          <w:rFonts w:ascii="Arial" w:cs="Arial" w:eastAsia="Arial" w:hAnsi="Arial"/>
          <w:sz w:val="15"/>
          <w:szCs w:val="15"/>
          <w:b w:val="1"/>
          <w:bCs w:val="1"/>
          <w:color w:val="auto"/>
        </w:rPr>
        <w:t>Connecticut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06-0854886</w:t>
      </w:r>
    </w:p>
    <w:p>
      <w:pPr>
        <w:spacing w:after="0" w:line="77" w:lineRule="exact"/>
        <w:rPr>
          <w:sz w:val="24"/>
          <w:szCs w:val="24"/>
          <w:color w:val="auto"/>
        </w:rPr>
      </w:pPr>
    </w:p>
    <w:p>
      <w:pPr>
        <w:sectPr>
          <w:pgSz w:w="11900" w:h="16838" w:orient="portrait"/>
          <w:cols w:equalWidth="0" w:num="2">
            <w:col w:w="7392" w:space="720"/>
            <w:col w:w="3280"/>
          </w:cols>
          <w:pgMar w:left="248" w:top="462" w:right="259" w:bottom="0" w:gutter="0" w:footer="0" w:header="0"/>
          <w:type w:val="continuous"/>
        </w:sectPr>
      </w:pPr>
    </w:p>
    <w:p>
      <w:pPr>
        <w:jc w:val="center"/>
        <w:ind w:right="1348"/>
        <w:spacing w:after="0"/>
        <w:rPr>
          <w:sz w:val="20"/>
          <w:szCs w:val="20"/>
          <w:color w:val="auto"/>
        </w:rPr>
      </w:pPr>
      <w:r>
        <w:rPr>
          <w:rFonts w:ascii="Arial" w:cs="Arial" w:eastAsia="Arial" w:hAnsi="Arial"/>
          <w:sz w:val="18"/>
          <w:szCs w:val="18"/>
          <w:i w:val="1"/>
          <w:iCs w:val="1"/>
          <w:color w:val="auto"/>
        </w:rPr>
        <w:t>(State or other jurisdiction</w:t>
      </w:r>
    </w:p>
    <w:p>
      <w:pPr>
        <w:spacing w:after="0" w:line="36" w:lineRule="exact"/>
        <w:rPr>
          <w:sz w:val="24"/>
          <w:szCs w:val="24"/>
          <w:color w:val="auto"/>
        </w:rPr>
      </w:pPr>
    </w:p>
    <w:p>
      <w:pPr>
        <w:jc w:val="center"/>
        <w:ind w:right="1348"/>
        <w:spacing w:after="0"/>
        <w:rPr>
          <w:sz w:val="20"/>
          <w:szCs w:val="20"/>
          <w:color w:val="auto"/>
        </w:rPr>
      </w:pPr>
      <w:r>
        <w:rPr>
          <w:rFonts w:ascii="Arial" w:cs="Arial" w:eastAsia="Arial" w:hAnsi="Arial"/>
          <w:sz w:val="16"/>
          <w:szCs w:val="16"/>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i w:val="1"/>
          <w:iCs w:val="1"/>
          <w:color w:val="auto"/>
        </w:rPr>
        <w:t>(IRS Employer</w:t>
      </w:r>
    </w:p>
    <w:p>
      <w:pPr>
        <w:spacing w:after="0" w:line="36" w:lineRule="exact"/>
        <w:rPr>
          <w:sz w:val="24"/>
          <w:szCs w:val="24"/>
          <w:color w:val="auto"/>
        </w:rPr>
      </w:pPr>
    </w:p>
    <w:p>
      <w:pPr>
        <w:jc w:val="center"/>
        <w:ind w:right="2060"/>
        <w:spacing w:after="0"/>
        <w:rPr>
          <w:sz w:val="20"/>
          <w:szCs w:val="20"/>
          <w:color w:val="auto"/>
        </w:rPr>
      </w:pPr>
      <w:r>
        <w:rPr>
          <w:rFonts w:ascii="Arial" w:cs="Arial" w:eastAsia="Arial" w:hAnsi="Arial"/>
          <w:sz w:val="16"/>
          <w:szCs w:val="16"/>
          <w:i w:val="1"/>
          <w:iCs w:val="1"/>
          <w:color w:val="auto"/>
        </w:rPr>
        <w:t>Identification Number)</w:t>
      </w:r>
    </w:p>
    <w:p>
      <w:pPr>
        <w:spacing w:after="0" w:line="200" w:lineRule="exact"/>
        <w:rPr>
          <w:sz w:val="24"/>
          <w:szCs w:val="24"/>
          <w:color w:val="auto"/>
        </w:rPr>
      </w:pPr>
    </w:p>
    <w:p>
      <w:pPr>
        <w:sectPr>
          <w:pgSz w:w="11900" w:h="16838" w:orient="portrait"/>
          <w:cols w:equalWidth="0" w:num="2">
            <w:col w:w="6992" w:space="720"/>
            <w:col w:w="3680"/>
          </w:cols>
          <w:pgMar w:left="248" w:top="462" w:right="259" w:bottom="0" w:gutter="0" w:footer="0" w:header="0"/>
          <w:type w:val="continuous"/>
        </w:sectPr>
      </w:pPr>
    </w:p>
    <w:p>
      <w:pPr>
        <w:spacing w:after="0" w:line="83"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1" w:lineRule="exact"/>
        <w:rPr>
          <w:sz w:val="24"/>
          <w:szCs w:val="24"/>
          <w:color w:val="auto"/>
        </w:rPr>
      </w:pPr>
    </w:p>
    <w:p>
      <w:pPr>
        <w:jc w:val="center"/>
        <w:ind w:right="-31"/>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218"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(203) 775-9000</w:t>
      </w:r>
    </w:p>
    <w:p>
      <w:pPr>
        <w:spacing w:after="0" w:line="21" w:lineRule="exact"/>
        <w:rPr>
          <w:sz w:val="24"/>
          <w:szCs w:val="24"/>
          <w:color w:val="auto"/>
        </w:rPr>
      </w:pPr>
    </w:p>
    <w:p>
      <w:pPr>
        <w:jc w:val="center"/>
        <w:ind w:right="-31"/>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18" w:lineRule="exact"/>
        <w:rPr>
          <w:sz w:val="24"/>
          <w:szCs w:val="24"/>
          <w:color w:val="auto"/>
        </w:rPr>
      </w:pPr>
    </w:p>
    <w:p>
      <w:pPr>
        <w:jc w:val="center"/>
        <w:ind w:right="-31"/>
        <w:spacing w:after="0"/>
        <w:rPr>
          <w:sz w:val="20"/>
          <w:szCs w:val="20"/>
          <w:color w:val="auto"/>
        </w:rPr>
      </w:pPr>
      <w:r>
        <w:rPr>
          <w:rFonts w:ascii="Arial" w:cs="Arial" w:eastAsia="Arial" w:hAnsi="Arial"/>
          <w:sz w:val="16"/>
          <w:szCs w:val="16"/>
          <w:i w:val="1"/>
          <w:iCs w:val="1"/>
          <w:color w:val="auto"/>
        </w:rPr>
        <w:t xml:space="preserve">Securities registered pursuant to Section 12(b) of the Act: </w:t>
      </w:r>
      <w:r>
        <w:rPr>
          <w:rFonts w:ascii="Arial" w:cs="Arial" w:eastAsia="Arial" w:hAnsi="Arial"/>
          <w:sz w:val="16"/>
          <w:szCs w:val="16"/>
          <w:b w:val="1"/>
          <w:bCs w:val="1"/>
          <w:color w:val="auto"/>
        </w:rPr>
        <w:t>Common Stock, $0.01 par value per share - NASDAQ Global Select Market</w:t>
      </w:r>
    </w:p>
    <w:p>
      <w:pPr>
        <w:spacing w:after="0" w:line="275" w:lineRule="exact"/>
        <w:rPr>
          <w:sz w:val="24"/>
          <w:szCs w:val="24"/>
          <w:color w:val="auto"/>
        </w:rPr>
      </w:pPr>
    </w:p>
    <w:p>
      <w:pPr>
        <w:jc w:val="center"/>
        <w:ind w:right="-11"/>
        <w:spacing w:after="0"/>
        <w:rPr>
          <w:sz w:val="20"/>
          <w:szCs w:val="20"/>
          <w:color w:val="auto"/>
        </w:rPr>
      </w:pPr>
      <w:r>
        <w:rPr>
          <w:rFonts w:ascii="Arial" w:cs="Arial" w:eastAsia="Arial" w:hAnsi="Arial"/>
          <w:sz w:val="18"/>
          <w:szCs w:val="18"/>
          <w:i w:val="1"/>
          <w:iCs w:val="1"/>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8" w:lineRule="exact"/>
        <w:rPr>
          <w:sz w:val="24"/>
          <w:szCs w:val="24"/>
          <w:color w:val="auto"/>
        </w:rPr>
      </w:pPr>
    </w:p>
    <w:p>
      <w:pPr>
        <w:ind w:left="272"/>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272"/>
        <w:spacing w:after="0"/>
        <w:rPr>
          <w:sz w:val="20"/>
          <w:szCs w:val="20"/>
          <w:color w:val="auto"/>
        </w:rPr>
      </w:pPr>
      <w:r>
        <w:rPr>
          <w:rFonts w:ascii="Arial" w:cs="Arial" w:eastAsia="Arial" w:hAnsi="Arial"/>
          <w:sz w:val="18"/>
          <w:szCs w:val="18"/>
          <w:color w:val="auto"/>
        </w:rPr>
        <w:t>Yes o No x</w:t>
      </w:r>
    </w:p>
    <w:p>
      <w:pPr>
        <w:spacing w:after="0" w:line="246" w:lineRule="exact"/>
        <w:rPr>
          <w:sz w:val="24"/>
          <w:szCs w:val="24"/>
          <w:color w:val="auto"/>
        </w:rPr>
      </w:pPr>
    </w:p>
    <w:p>
      <w:pPr>
        <w:ind w:left="272"/>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272"/>
        <w:spacing w:after="0"/>
        <w:rPr>
          <w:sz w:val="20"/>
          <w:szCs w:val="20"/>
          <w:color w:val="auto"/>
        </w:rPr>
      </w:pPr>
      <w:r>
        <w:rPr>
          <w:rFonts w:ascii="Arial" w:cs="Arial" w:eastAsia="Arial" w:hAnsi="Arial"/>
          <w:sz w:val="18"/>
          <w:szCs w:val="18"/>
          <w:color w:val="auto"/>
        </w:rPr>
        <w:t>Yes o No x</w:t>
      </w:r>
    </w:p>
    <w:p>
      <w:pPr>
        <w:spacing w:after="0" w:line="246" w:lineRule="exact"/>
        <w:rPr>
          <w:sz w:val="24"/>
          <w:szCs w:val="24"/>
          <w:color w:val="auto"/>
        </w:rPr>
      </w:pPr>
    </w:p>
    <w:p>
      <w:pPr>
        <w:ind w:left="272"/>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38" w:lineRule="exact"/>
        <w:rPr>
          <w:sz w:val="24"/>
          <w:szCs w:val="24"/>
          <w:color w:val="auto"/>
        </w:rPr>
      </w:pPr>
    </w:p>
    <w:p>
      <w:pPr>
        <w:ind w:left="272"/>
        <w:spacing w:after="0"/>
        <w:rPr>
          <w:sz w:val="20"/>
          <w:szCs w:val="20"/>
          <w:color w:val="auto"/>
        </w:rPr>
      </w:pPr>
      <w:r>
        <w:rPr>
          <w:rFonts w:ascii="Arial" w:cs="Arial" w:eastAsia="Arial" w:hAnsi="Arial"/>
          <w:sz w:val="16"/>
          <w:szCs w:val="16"/>
          <w:color w:val="auto"/>
        </w:rPr>
        <w:t>during the preceding 12 months (or for such shorter period that the registrant was required to file such reports), and (2) has been subject to such filing</w:t>
      </w:r>
    </w:p>
    <w:p>
      <w:pPr>
        <w:spacing w:after="0" w:line="32" w:lineRule="exact"/>
        <w:rPr>
          <w:sz w:val="24"/>
          <w:szCs w:val="24"/>
          <w:color w:val="auto"/>
        </w:rPr>
      </w:pPr>
    </w:p>
    <w:p>
      <w:pPr>
        <w:ind w:left="272"/>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ind w:left="272"/>
        <w:spacing w:after="0"/>
        <w:rPr>
          <w:sz w:val="20"/>
          <w:szCs w:val="20"/>
          <w:color w:val="auto"/>
        </w:rPr>
      </w:pPr>
      <w:r>
        <w:rPr>
          <w:rFonts w:ascii="Arial" w:cs="Arial" w:eastAsia="Arial" w:hAnsi="Arial"/>
          <w:sz w:val="18"/>
          <w:szCs w:val="18"/>
          <w:color w:val="auto"/>
        </w:rPr>
        <w:t>Yes x No o</w:t>
      </w:r>
    </w:p>
    <w:p>
      <w:pPr>
        <w:spacing w:after="0" w:line="246" w:lineRule="exact"/>
        <w:rPr>
          <w:sz w:val="24"/>
          <w:szCs w:val="24"/>
          <w:color w:val="auto"/>
        </w:rPr>
      </w:pPr>
    </w:p>
    <w:p>
      <w:pPr>
        <w:ind w:left="272"/>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38" w:lineRule="exact"/>
        <w:rPr>
          <w:sz w:val="24"/>
          <w:szCs w:val="24"/>
          <w:color w:val="auto"/>
        </w:rPr>
      </w:pPr>
    </w:p>
    <w:p>
      <w:pPr>
        <w:ind w:left="272"/>
        <w:spacing w:after="0"/>
        <w:rPr>
          <w:sz w:val="20"/>
          <w:szCs w:val="20"/>
          <w:color w:val="auto"/>
        </w:rPr>
      </w:pPr>
      <w:r>
        <w:rPr>
          <w:rFonts w:ascii="Arial" w:cs="Arial" w:eastAsia="Arial" w:hAnsi="Arial"/>
          <w:sz w:val="15"/>
          <w:szCs w:val="15"/>
          <w:color w:val="auto"/>
        </w:rPr>
        <w:t>be submitted and posted pursuant to Rule 405 of Regulation S-T (§232.405 of this chapter) during the preceding 12 months (or for such shorter period that the</w:t>
      </w:r>
    </w:p>
    <w:p>
      <w:pPr>
        <w:spacing w:after="0" w:line="44" w:lineRule="exact"/>
        <w:rPr>
          <w:sz w:val="24"/>
          <w:szCs w:val="24"/>
          <w:color w:val="auto"/>
        </w:rPr>
      </w:pPr>
    </w:p>
    <w:p>
      <w:pPr>
        <w:ind w:left="272"/>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ind w:left="272"/>
        <w:spacing w:after="0"/>
        <w:rPr>
          <w:sz w:val="20"/>
          <w:szCs w:val="20"/>
          <w:color w:val="auto"/>
        </w:rPr>
      </w:pPr>
      <w:r>
        <w:rPr>
          <w:rFonts w:ascii="Arial" w:cs="Arial" w:eastAsia="Arial" w:hAnsi="Arial"/>
          <w:sz w:val="18"/>
          <w:szCs w:val="18"/>
          <w:color w:val="auto"/>
        </w:rPr>
        <w:t>Yes o No o</w:t>
      </w:r>
    </w:p>
    <w:p>
      <w:pPr>
        <w:spacing w:after="0" w:line="246" w:lineRule="exact"/>
        <w:rPr>
          <w:sz w:val="24"/>
          <w:szCs w:val="24"/>
          <w:color w:val="auto"/>
        </w:rPr>
      </w:pPr>
    </w:p>
    <w:p>
      <w:pPr>
        <w:jc w:val="both"/>
        <w:ind w:left="272" w:right="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21" w:lineRule="exact"/>
        <w:rPr>
          <w:sz w:val="24"/>
          <w:szCs w:val="24"/>
          <w:color w:val="auto"/>
        </w:rPr>
      </w:pPr>
    </w:p>
    <w:p>
      <w:pPr>
        <w:ind w:left="272" w:right="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ind w:left="272"/>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219" w:lineRule="exact"/>
        <w:rPr>
          <w:sz w:val="24"/>
          <w:szCs w:val="24"/>
          <w:color w:val="auto"/>
        </w:rPr>
      </w:pPr>
    </w:p>
    <w:p>
      <w:pPr>
        <w:ind w:left="272"/>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272"/>
        <w:spacing w:after="0"/>
        <w:rPr>
          <w:sz w:val="20"/>
          <w:szCs w:val="20"/>
          <w:color w:val="auto"/>
        </w:rPr>
      </w:pPr>
      <w:r>
        <w:rPr>
          <w:rFonts w:ascii="Arial" w:cs="Arial" w:eastAsia="Arial" w:hAnsi="Arial"/>
          <w:sz w:val="18"/>
          <w:szCs w:val="18"/>
          <w:color w:val="auto"/>
        </w:rPr>
        <w:t>Yes oNo x</w:t>
      </w:r>
    </w:p>
    <w:p>
      <w:pPr>
        <w:spacing w:after="0" w:line="246" w:lineRule="exact"/>
        <w:rPr>
          <w:sz w:val="24"/>
          <w:szCs w:val="24"/>
          <w:color w:val="auto"/>
        </w:rPr>
      </w:pPr>
    </w:p>
    <w:p>
      <w:pPr>
        <w:ind w:left="272" w:right="60"/>
        <w:spacing w:after="0" w:line="259" w:lineRule="auto"/>
        <w:rPr>
          <w:sz w:val="20"/>
          <w:szCs w:val="20"/>
          <w:color w:val="auto"/>
        </w:rPr>
      </w:pPr>
      <w:r>
        <w:rPr>
          <w:rFonts w:ascii="Arial" w:cs="Arial" w:eastAsia="Arial" w:hAnsi="Arial"/>
          <w:sz w:val="18"/>
          <w:szCs w:val="18"/>
          <w:color w:val="auto"/>
        </w:rPr>
        <w:t>As of May 2, 2010, which was the last business day of the registrant's most recently completed second fiscal quarter, the aggregate market value of the shares of the registrant's common stock held by non-affiliates was approximately $281,136,610 (based upon the closing price of $5.45 per share as reported by the NASDAQ Global Select Market on that date).</w:t>
      </w:r>
    </w:p>
    <w:p>
      <w:pPr>
        <w:spacing w:after="0" w:line="221" w:lineRule="exact"/>
        <w:rPr>
          <w:sz w:val="24"/>
          <w:szCs w:val="24"/>
          <w:color w:val="auto"/>
        </w:rPr>
      </w:pPr>
    </w:p>
    <w:p>
      <w:pPr>
        <w:ind w:left="272"/>
        <w:spacing w:after="0"/>
        <w:rPr>
          <w:sz w:val="20"/>
          <w:szCs w:val="20"/>
          <w:color w:val="auto"/>
        </w:rPr>
      </w:pPr>
      <w:r>
        <w:rPr>
          <w:rFonts w:ascii="Arial" w:cs="Arial" w:eastAsia="Arial" w:hAnsi="Arial"/>
          <w:sz w:val="18"/>
          <w:szCs w:val="18"/>
          <w:color w:val="auto"/>
        </w:rPr>
        <w:t>As of December 31, 2010, 54,100,142 shares of the registrant's common stock were outstanding.</w:t>
      </w:r>
    </w:p>
    <w:p>
      <w:pPr>
        <w:spacing w:after="0" w:line="246"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392"/>
          </w:cols>
          <w:pgMar w:left="248" w:top="462"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Proxy Statement for the 2011</w:t>
            </w:r>
          </w:p>
        </w:tc>
        <w:tc>
          <w:tcPr>
            <w:tcW w:w="5460" w:type="dxa"/>
            <w:vAlign w:val="bottom"/>
          </w:tcPr>
          <w:p>
            <w:pPr>
              <w:spacing w:after="0"/>
              <w:rPr>
                <w:sz w:val="19"/>
                <w:szCs w:val="19"/>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546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to be held in April 2011</w:t>
            </w:r>
          </w:p>
        </w:tc>
        <w:tc>
          <w:tcPr>
            <w:tcW w:w="546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377"/>
        </w:trPr>
        <w:tc>
          <w:tcPr>
            <w:tcW w:w="59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8"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85"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annual report on Form 10-K,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 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 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of the Company to place new equipment in service on a timely basis; obtain additional financing; achieve anticipated synergies and other cost savings in connection with acquisitions and productivity programs; fully utilize its tools; achieve desired yields, pricing, product mix, and market acceptance of its products;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5"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Photronics, Inc. ("Company")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amendments to those reports filed or furnished pursuant to Section 13(a) or 15(d) of the Securities Exchange Act of 1934 as soon as reasonably practicable after such materials are electronically filed or furnished to the Securities and Exchange Commission. The information contained or incorporated in the Company's website is not part of these documents.</w:t>
      </w:r>
    </w:p>
    <w:p>
      <w:pPr>
        <w:spacing w:after="0" w:line="228"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each in Korea and Singapore, and three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w:t>
      </w:r>
    </w:p>
    <w:p>
      <w:pPr>
        <w:spacing w:after="0" w:line="285"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The Company manufactures photomasks, which are used as masters to transfer circuit patterns onto semiconductor wafers and flat panel substrates. The Company's photomasks are manufactured in accordance with circuit designs provided on a confidential basis by its customers. IC and FPD photomasks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 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226" w:lineRule="exact"/>
        <w:rPr>
          <w:sz w:val="20"/>
          <w:szCs w:val="20"/>
          <w:color w:val="auto"/>
        </w:rPr>
      </w:pPr>
    </w:p>
    <w:p>
      <w:pPr>
        <w:ind w:right="280" w:firstLine="270"/>
        <w:spacing w:after="0" w:line="289" w:lineRule="auto"/>
        <w:rPr>
          <w:sz w:val="20"/>
          <w:szCs w:val="20"/>
          <w:color w:val="auto"/>
        </w:rPr>
      </w:pPr>
      <w:r>
        <w:rPr>
          <w:rFonts w:ascii="Arial" w:cs="Arial" w:eastAsia="Arial" w:hAnsi="Arial"/>
          <w:sz w:val="16"/>
          <w:szCs w:val="16"/>
          <w:color w:val="auto"/>
        </w:rPr>
        <w:t>The Company currently supports customers across the full spectrum of IC production and FPD technologies by manufacturing photomasks using electron beam or optical-based technologies. Electron beam and laser-based systems are the predominant technologies used for photomask manufacturing. These technologies are capable of producing the finer line resolution, tighter overlay and larger die size for the larger and more complex circuits currently being designed. Electron beam and laser generated photomasks can be used with the most advanced processing techniques to produce the most advanced semiconductors and FPDs for use in an array of products. However, in the case of IC production, electron beam technologies fabricate the large majority of critical layer photomasks. End markets served with IC photomasks include devices used for microprocessors, memory, teleco mmunications and related applications. The Company currently owns a number of high-end and mature electron beam and laser-based systems. The production of photomasks by the optical (laser-based) method is less expensive and less precise than those manufactured on high-end electron beam systems.</w:t>
      </w:r>
    </w:p>
    <w:p>
      <w:pPr>
        <w:spacing w:after="0" w:line="226" w:lineRule="exact"/>
        <w:rPr>
          <w:sz w:val="20"/>
          <w:szCs w:val="20"/>
          <w:color w:val="auto"/>
        </w:rPr>
      </w:pPr>
    </w:p>
    <w:p>
      <w:pPr>
        <w:ind w:right="240" w:firstLine="270"/>
        <w:spacing w:after="0" w:line="255"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geographic proximity to customers, efficient manufacturing methods, high production yield and high equipment reliability. The Company works to meet these requirements by making significant investments in research and development, manufacturing, and data processing systems, and by utilizing statistical process control methods to optimize the manufacturing process and reduce cycle times.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ind w:firstLine="270"/>
        <w:spacing w:after="0" w:line="256"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51" w:lineRule="exact"/>
        <w:rPr>
          <w:sz w:val="20"/>
          <w:szCs w:val="20"/>
          <w:color w:val="auto"/>
        </w:rPr>
      </w:pPr>
    </w:p>
    <w:p>
      <w:pPr>
        <w:ind w:right="220" w:firstLine="270"/>
        <w:spacing w:after="0" w:line="294" w:lineRule="auto"/>
        <w:rPr>
          <w:sz w:val="20"/>
          <w:szCs w:val="20"/>
          <w:color w:val="auto"/>
        </w:rPr>
      </w:pPr>
      <w:r>
        <w:rPr>
          <w:rFonts w:ascii="Arial" w:cs="Arial" w:eastAsia="Arial" w:hAnsi="Arial"/>
          <w:sz w:val="16"/>
          <w:szCs w:val="16"/>
          <w:color w:val="auto"/>
        </w:rPr>
        <w:t>The majority of IC photomasks produced for the semiconductor industry employ geometries of 90 nanometers or larger.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ICs, this includes photomasks at and below the 65 nanometer technology node and, for FPDs, at and above the Generation 7 technology node. The Company has access to technology and customer qualified manufacturing capability that allows it to compete in high-end markets serving both IC and FPD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market for photomasks primarily consists of domestic and international semiconductor and FPD manufacturers and designers, including a limited number of manufacturers who have the capability to internally manufacture photomasks. Photomasks are manufactured by independent merchant manufacturers like Photronics, and by semiconductor and FPD manufacturers that produce photomasks exclusively for their own use (captive manufacturers). Since the mid-1980s, there has been a strong trend in Asia, Europe and North America towards the divesture or closing of captive photomask operations by semiconductor manufacturers and an increase in the share of the market served by independent manufacturers. This trend has been driven by the increasing complexity involved in manufacturing and the high cost of the necessary capital equipment.</w:t>
      </w:r>
    </w:p>
    <w:p>
      <w:pPr>
        <w:spacing w:after="0" w:line="228"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the Company's performance is competitive, the Company will receive a specified percentage of that customer's photomask requirements.</w:t>
      </w:r>
    </w:p>
    <w:p>
      <w:pPr>
        <w:spacing w:after="0" w:line="221"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throughout the United States, Europe and Asia.</w:t>
      </w:r>
    </w:p>
    <w:p>
      <w:pPr>
        <w:spacing w:after="0" w:line="248"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The Company supports international customers through both its domestic and international facilities. The Company considers its presence in international markets to be an important factor in attracting new customers, providing global solutions to its customers, minimizing delivery time, and serving customers that utilize manufacturing foundries outside of the United States, principally in Asia. See Note 17 to the Company's consolidated financial statements for the amount of net sales and long-lived assets attributable to each of the Company's geographic areas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Customers</w:t>
      </w:r>
    </w:p>
    <w:p>
      <w:pPr>
        <w:spacing w:after="0" w:line="285"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The Company primarily sells its products to leading semiconductor and FPD manufacturers. The Company's largest customers (listed alphabetically) during the fiscal year ended October 31, 2010 ("fiscal 2010") included the following:</w:t>
      </w:r>
    </w:p>
    <w:p>
      <w:pPr>
        <w:sectPr>
          <w:pgSz w:w="11900" w:h="16838" w:orient="portrait"/>
          <w:cols w:equalWidth="0" w:num="1">
            <w:col w:w="11420"/>
          </w:cols>
          <w:pgMar w:left="240" w:top="611" w:right="2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Aptina Imaging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Magnachip Semiconductor</w:t>
      </w:r>
    </w:p>
    <w:p>
      <w:pPr>
        <w:spacing w:after="0" w:line="70"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AU Optronics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Micron Technology, Inc.</w:t>
      </w:r>
    </w:p>
    <w:p>
      <w:pPr>
        <w:spacing w:after="0" w:line="59"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Dongbu HiTek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Nanya Technology Corporation</w:t>
      </w:r>
    </w:p>
    <w:p>
      <w:pPr>
        <w:spacing w:after="0" w:line="59"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5"/>
          <w:szCs w:val="15"/>
          <w:color w:val="auto"/>
        </w:rPr>
        <w:t>Freescale Semiconductor,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Semiconductor Corporation</w:t>
      </w:r>
    </w:p>
    <w:p>
      <w:pPr>
        <w:spacing w:after="0" w:line="59"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Global Foundries,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Novatek Microelectronics Corp., Ltd.</w:t>
      </w:r>
    </w:p>
    <w:p>
      <w:pPr>
        <w:spacing w:after="0" w:line="59"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HannStar Display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Semiconductor Corporation</w:t>
      </w:r>
    </w:p>
    <w:p>
      <w:pPr>
        <w:spacing w:after="0" w:line="59"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IM Flash Technologies,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Samsung Electronics Co., Ltd.</w:t>
      </w:r>
    </w:p>
    <w:p>
      <w:pPr>
        <w:spacing w:after="0" w:line="70"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Inotera Memories,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 Microelectronics, Inc.</w:t>
      </w:r>
    </w:p>
    <w:p>
      <w:pPr>
        <w:spacing w:after="0" w:line="59"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Jenoptik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Texas Instruments Incorporated</w:t>
      </w:r>
    </w:p>
    <w:p>
      <w:pPr>
        <w:spacing w:after="0" w:line="70"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rPr>
          <w:sz w:val="20"/>
          <w:szCs w:val="20"/>
          <w:color w:val="auto"/>
        </w:rPr>
      </w:pPr>
      <w:r>
        <w:rPr>
          <w:rFonts w:ascii="Arial" w:cs="Arial" w:eastAsia="Arial" w:hAnsi="Arial"/>
          <w:sz w:val="16"/>
          <w:szCs w:val="16"/>
          <w:color w:val="auto"/>
        </w:rPr>
        <w:t>LG Electronics,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Microelectronics Corp.</w:t>
      </w:r>
    </w:p>
    <w:p>
      <w:pPr>
        <w:spacing w:after="0" w:line="200" w:lineRule="exact"/>
        <w:rPr>
          <w:sz w:val="20"/>
          <w:szCs w:val="20"/>
          <w:color w:val="auto"/>
        </w:rPr>
      </w:pPr>
    </w:p>
    <w:p>
      <w:pPr>
        <w:sectPr>
          <w:pgSz w:w="11900" w:h="16838" w:orient="portrait"/>
          <w:cols w:equalWidth="0" w:num="2">
            <w:col w:w="2740" w:space="720"/>
            <w:col w:w="7960"/>
          </w:cols>
          <w:pgMar w:left="240" w:top="611"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formerly Chartered Semiconductor Manufacturing, Ltd.</w:t>
      </w:r>
    </w:p>
    <w:p>
      <w:pPr>
        <w:spacing w:after="0" w:line="27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During fiscal 2010, the Company sold its products and services to approximately 600 customers. Samsung Electronics Co., Ltd. accounted for approximately 19% of the Company's net sales in fiscal 2010 and 2009 and 25% of the Company's net sales in fiscal 2008. This included sales of both IC and FPD photomasks. The Company's five largest customers, in the aggregate, accounted for approximately 39%, 42% and 44% of net sales in fiscal 2010, 2009, and 2008, respectively. A significant decrease in the amount of sales to any of these customers could have a material, adverse effect on the financial performance and business prospects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5" w:lineRule="exact"/>
        <w:rPr>
          <w:sz w:val="20"/>
          <w:szCs w:val="20"/>
          <w:color w:val="auto"/>
        </w:rPr>
      </w:pPr>
    </w:p>
    <w:p>
      <w:pPr>
        <w:ind w:right="100" w:firstLine="270"/>
        <w:spacing w:after="0" w:line="306" w:lineRule="auto"/>
        <w:rPr>
          <w:sz w:val="20"/>
          <w:szCs w:val="20"/>
          <w:color w:val="auto"/>
        </w:rPr>
      </w:pPr>
      <w:r>
        <w:rPr>
          <w:rFonts w:ascii="Arial" w:cs="Arial" w:eastAsia="Arial" w:hAnsi="Arial"/>
          <w:sz w:val="16"/>
          <w:szCs w:val="16"/>
          <w:color w:val="auto"/>
        </w:rPr>
        <w:t>The Company's quarterly revenues can be affected by the seasonal purchasing of its customers. The Company is typically impacted during its first fiscal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5"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The Company conducts its primary research and development activities for IC photomasks at its MP Mask Technology Center, LLC ("MP Mask") joint venture operation located in Boise, Idaho, and for FPD photomasks at PK, Ltd., its subsidiary in Korea, and in site-specific research and development programs to support strategic customers. These research and development programs and activities are designed to advance the Company's leadership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are focused on 32 nanometer node and below IC technology and Gen eration 8 and higher FPD technology. The Company believes these core competencies will continue to be a critical part of semiconductor manufacturing as optical lithography continues to scale device capabilities at and below 45 nanometer. The Company has incurred research and development expenses of $14.9 million, $15.4 million and $17.5 million in fiscal 2010, 2009 and 2008, respectively. The Company believes that it owns, controls, or licenses valuable proprietary information that is necessary for its business as it is presently conducted. This includes trade secrets as well as patents. The Company believes that its intellectual property and trade secret know-how will continue to be important to its technical leadership in the field of photomasks.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85" w:lineRule="exact"/>
        <w:rPr>
          <w:sz w:val="20"/>
          <w:szCs w:val="20"/>
          <w:color w:val="auto"/>
        </w:rPr>
      </w:pPr>
    </w:p>
    <w:p>
      <w:pPr>
        <w:ind w:right="100" w:firstLine="270"/>
        <w:spacing w:after="0" w:line="298" w:lineRule="auto"/>
        <w:rPr>
          <w:sz w:val="20"/>
          <w:szCs w:val="20"/>
          <w:color w:val="auto"/>
        </w:rPr>
      </w:pPr>
      <w:r>
        <w:rPr>
          <w:rFonts w:ascii="Arial" w:cs="Arial" w:eastAsia="Arial" w:hAnsi="Arial"/>
          <w:sz w:val="16"/>
          <w:szCs w:val="16"/>
          <w:color w:val="auto"/>
        </w:rPr>
        <w:t>The Company has over 45 patents with ownership interest in the United States. The subject matter of these patents generally relates to the manufacture of IC photomasks themselves and the use of photomasks to manufacture other products. The expiration dates of these patents range from 2011 to 2028. Additionally, pursuant to a technology license agreement with Micron Technology, Inc. (Micron), the Company has access to certain technology of Micron and MP Mask. The Company also has a number of trademarks and trademark registrations in the United States and in other countries.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6" w:name="page7"/>
    <w:bookmarkEnd w:id="6"/>
    <w:p>
      <w:pPr>
        <w:ind w:right="140" w:firstLine="270"/>
        <w:spacing w:after="0" w:line="256" w:lineRule="auto"/>
        <w:rPr>
          <w:sz w:val="20"/>
          <w:szCs w:val="20"/>
          <w:color w:val="auto"/>
        </w:rPr>
      </w:pPr>
      <w:r>
        <w:rPr>
          <w:rFonts w:ascii="Arial" w:cs="Arial" w:eastAsia="Arial" w:hAnsi="Arial"/>
          <w:sz w:val="18"/>
          <w:szCs w:val="18"/>
          <w:color w:val="auto"/>
        </w:rPr>
        <w:t>While the Company believes that its intellectual property is, and will continue to be, important to the Company's technical leadership in the field of photomasks, the Company's operations are not dependent on any one individual patent. The Company protects its intellectual property rights regarding products and manufacturing processes by utilizing patents. The Company also relies on non-disclosure agreements with employees and vendors to protect its intellectual property and proprietary processes.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85"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Raw materials used by the Company generally include high precision quartz plates (including large area plates), which are used as photomask blanks,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Although the Company is not dependent on any one supplier for most of its raw materials, glass blanks used for the production of certain high-end photomasks are only available from one supplier. The Company believes that its utilization of a select group of strategic suppliers enables it to access the most technologically advanced materials available. On an ongoing basis, the Company continues to consider additional supply source s.</w:t>
      </w:r>
    </w:p>
    <w:p>
      <w:pPr>
        <w:spacing w:after="0" w:line="228"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85"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5"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color w:val="auto"/>
        </w:rPr>
        <w:t>International sales were approximately 71%, 72% and 77% of the Company's net sales in fiscal 2010, 2009 and 2008, respectively. The Company believes that its ability to serve international markets requires it to have, among other things, a local presence in the markets that it serves. This requires a significant investment in financial, managerial, operational, and other resources.</w:t>
      </w:r>
    </w:p>
    <w:p>
      <w:pPr>
        <w:spacing w:after="0" w:line="248"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and potentially adverse tax consequences. These factors may have a material, adverse effect on the Company's ability to generate sales outside the United States and to deploy resources where they could otherwise be used to their greatest advantage and, consequently, may adversely affect its financial condition and results of operations. Note 17 of the notes to the Company's consolidated financial statements reports net sales and long-lived assets by geographic region.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5"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photomask industry is highly competitive and most of the Company's customers utilize multiple photomask suppliers. The Company's ability to compete depends primarily upon its consistency of product quality and timeliness of delivery, as well as pricing, technical capability and service. The Company also believes that proximity to customers is an important factor in certain markets where cycle time from order to delivery is critical. A few competitors have greater financial, technical, sales, marketing and other resources than the Company. The Company believes that consistency of product quality, timeliness of delivery, and price are the principal factors considered by customers in selecting their photomask suppliers. An inability to meet these requirements could adversely affect the Company's sales. The Company believes that it is able to compete effect ively because of its dedication to customer service, investment in state-of-the-art photomask equipment and facilities, and experienced technical employees.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7" w:name="page8"/>
    <w:bookmarkEnd w:id="7"/>
    <w:p>
      <w:pPr>
        <w:ind w:right="20" w:firstLine="270"/>
        <w:spacing w:after="0" w:line="291" w:lineRule="auto"/>
        <w:rPr>
          <w:sz w:val="20"/>
          <w:szCs w:val="20"/>
          <w:color w:val="auto"/>
        </w:rPr>
      </w:pPr>
      <w:r>
        <w:rPr>
          <w:rFonts w:ascii="Arial" w:cs="Arial" w:eastAsia="Arial" w:hAnsi="Arial"/>
          <w:sz w:val="16"/>
          <w:szCs w:val="16"/>
          <w:color w:val="auto"/>
        </w:rPr>
        <w:t>The Company estimates that for the types of photomasks it manufactures (IC and FPD) the size of the total market (captive and merchant) is approximately $3.5 billion. Competitors include Compugraphics, Inc., Dai Nippon Printing Co., Ltd., Hoya Corporation, SK-Electronics Co. Ltd., Taiwan Mask Corporation, Toppan Printing Co., Ltd. and Toppan Chungwha Electronics Corporation.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 nufacturers, and expects such pressure to continue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5"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As of October 31, 2010, the Company had approximately 1,300 employees. The Company believes it offers competitive compensation and other benefits and that its employee relations are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dependency on the semiconductor industry, which is volatile, could have a negative material impact on its business.</w:t>
      </w:r>
    </w:p>
    <w:p>
      <w:pPr>
        <w:spacing w:after="0" w:line="285"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or FPD designs could reduce demand for photomasks even if the demand for semiconductors and FPDs increases. Further, adv 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fiscal 2008, which continued through fiscal 2009, and had an adverse impact on the Company's 2009 operating results.</w:t>
      </w:r>
    </w:p>
    <w:p>
      <w:pPr>
        <w:spacing w:after="0" w:line="231" w:lineRule="exact"/>
        <w:rPr>
          <w:sz w:val="20"/>
          <w:szCs w:val="20"/>
          <w:color w:val="auto"/>
        </w:rPr>
      </w:pPr>
    </w:p>
    <w:p>
      <w:pPr>
        <w:ind w:right="20" w:firstLine="270"/>
        <w:spacing w:after="0" w:line="318" w:lineRule="auto"/>
        <w:rPr>
          <w:sz w:val="20"/>
          <w:szCs w:val="20"/>
          <w:color w:val="auto"/>
        </w:rPr>
      </w:pPr>
      <w:r>
        <w:rPr>
          <w:rFonts w:ascii="Arial" w:cs="Arial" w:eastAsia="Arial" w:hAnsi="Arial"/>
          <w:sz w:val="15"/>
          <w:szCs w:val="15"/>
          <w:color w:val="auto"/>
        </w:rPr>
        <w:t>The Company's sales of both IC and FPD photomasks increased in fiscal 2010 as compared to fiscal 2009. The Company's results may suffer if either the IC or FPD photomask market does not grow or if the Company is unable to serve these markets successfully. The Company believes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A slowdown in the development of new technologies for fabricating ICs or FPDs could reduce the demand for related photomasks even if the demand for ICs or FPDs increases.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incurred net losses in fiscal years 2009 and 2008, and may incur future net losses.</w:t>
      </w:r>
    </w:p>
    <w:p>
      <w:pPr>
        <w:spacing w:after="0" w:line="285"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The Company incurred net losses of $41.9 million in fiscal 2009 and $210.8 million in fiscal 2008. These net losses were incurred due to the global recession and related severe downturn experienced by the semiconductor industry that began in 2008. Net losses incurred in both fiscal years 2009 and 2008 include significant non-cash charges for restructurings, impairments of goodwill, and impairments of long-lived assets. The Company returned to profitability and had net income of $23.9 million in fiscal 2010, but cannot provide assurance that future results of operations will be profitable.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 which could adversely impact the Company's business.</w:t>
      </w:r>
    </w:p>
    <w:p>
      <w:pPr>
        <w:spacing w:after="0" w:line="234" w:lineRule="exact"/>
        <w:rPr>
          <w:sz w:val="20"/>
          <w:szCs w:val="20"/>
          <w:color w:val="auto"/>
        </w:rPr>
      </w:pPr>
    </w:p>
    <w:p>
      <w:pPr>
        <w:ind w:right="60" w:firstLine="270"/>
        <w:spacing w:after="0" w:line="286" w:lineRule="auto"/>
        <w:rPr>
          <w:sz w:val="20"/>
          <w:szCs w:val="20"/>
          <w:color w:val="auto"/>
        </w:rPr>
      </w:pPr>
      <w:r>
        <w:rPr>
          <w:rFonts w:ascii="Arial" w:cs="Arial" w:eastAsia="Arial" w:hAnsi="Arial"/>
          <w:sz w:val="16"/>
          <w:szCs w:val="16"/>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technological change, fluctuations in manufacturing yields, competition and general economic conditions. The Company operates in a high fixed cost environment and, to the extent its revenues and asset utilization increase or decrease, operating margins will be positively or negatively impacted. The Company's customers generally order photomasks on an as-needed basis, and substantially all of the Company's net sales in any quarter are dependent on orders received during that quarter. Since the Company operates with little backlog and the rate of new orders may vary significantly from month-to-month, the Company's capital expenditures and, to some extent, expense levels are based primarily on sales forecasts. Consequently, if anticipated sales in any quarter do not occur when expected, capital expenditures and expense levels could be disproportionately high, and the Company's operating results would be adversely affected. Due to the foregoing factors, the Company believes that period-to-period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 ould materially adversely affect the market price of the Company's common stock.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8" w:name="page9"/>
    <w:bookmarkEnd w:id="8"/>
    <w:p>
      <w:pPr>
        <w:ind w:right="500"/>
        <w:spacing w:after="0" w:line="275" w:lineRule="auto"/>
        <w:rPr>
          <w:sz w:val="20"/>
          <w:szCs w:val="20"/>
          <w:color w:val="auto"/>
        </w:rPr>
      </w:pPr>
      <w:r>
        <w:rPr>
          <w:rFonts w:ascii="Arial" w:cs="Arial" w:eastAsia="Arial" w:hAnsi="Arial"/>
          <w:sz w:val="18"/>
          <w:szCs w:val="18"/>
          <w:b w:val="1"/>
          <w:bCs w:val="1"/>
          <w:color w:val="auto"/>
        </w:rPr>
        <w:t>The Company's industry is subject to rapid technological change and the Company might fail to remain competitive, which could have a material, adverse effect on the Company's business and results of operations.</w:t>
      </w:r>
    </w:p>
    <w:p>
      <w:pPr>
        <w:spacing w:after="0" w:line="234" w:lineRule="exact"/>
        <w:rPr>
          <w:sz w:val="20"/>
          <w:szCs w:val="20"/>
          <w:color w:val="auto"/>
        </w:rPr>
      </w:pPr>
    </w:p>
    <w:p>
      <w:pPr>
        <w:ind w:right="40" w:firstLine="270"/>
        <w:spacing w:after="0" w:line="285"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 ce application-specific ICs. Furthermore, increased market acceptance of alternative methods of IC designs onto semiconductor wafers, such as direct-write lithography, could reduce or eliminate the need for photomasks in the production of semiconductors. As of the end of fiscal 2010, direct-write lithography has not been proven to be a commercially viable alternative to photomasks, as it is considered to be too slow for high volume semiconductor wafer production. However, should direct-write or any other alternative methods of transferring IC designs to semiconductor wafers without the use of photomasks achieve market acceptance, the Company's business and results of operations would be materially adversely affected. If the Company is unable to anticipate, respond to or utilize these or other changing technologies, due to resource, technological or other constraints, its business and results of operations could be materially adversely affected. Further, should sales volumes decrease based upon the flow of de sign releases from the Company's customers, the Company may have excess or underutilized production capacity that could significantly impact operating margins, or result in write-offs from asset impairments.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manufacture of photomasks requires substantial investments in high-end manufacturing capability at existing and new facilities. The Company expects that it will be required to continue to make substantial capital expenditures to meet the technological demands of its customers and to position it for future growth. The Company's capital expenditure payments for fiscal 2011 are expected to be in the range of $70 million to $90 million, of which $40 million was accrued as of October 31, 2010. Further, the Company's credit facility has a limitation on capital expenditure payments. The Company cannot provide assurance that it will be able to obtain the additional funding required in connection with its operations on reasonable terms, if at all, or that any such inability will not have a material, adverse effect on its business and results of operations.</w:t>
      </w:r>
    </w:p>
    <w:p>
      <w:pPr>
        <w:spacing w:after="0" w:line="168" w:lineRule="exact"/>
        <w:rPr>
          <w:sz w:val="20"/>
          <w:szCs w:val="20"/>
          <w:color w:val="auto"/>
        </w:rPr>
      </w:pPr>
    </w:p>
    <w:p>
      <w:pPr>
        <w:ind w:right="100"/>
        <w:spacing w:after="0" w:line="378" w:lineRule="auto"/>
        <w:rPr>
          <w:sz w:val="20"/>
          <w:szCs w:val="20"/>
          <w:color w:val="auto"/>
        </w:rPr>
      </w:pPr>
      <w:r>
        <w:rPr>
          <w:rFonts w:ascii="Arial" w:cs="Arial" w:eastAsia="Arial" w:hAnsi="Arial"/>
          <w:sz w:val="15"/>
          <w:szCs w:val="15"/>
          <w:b w:val="1"/>
          <w:bCs w:val="1"/>
          <w:color w:val="auto"/>
        </w:rPr>
        <w:t>The Company's agreements with Micron have several risks; should either company not comply or execute under these agreements it could significantly disrupt the Company's business and technological activities, which could have a material, adverse effect on the Company's operations or cash flows.</w:t>
      </w:r>
    </w:p>
    <w:p>
      <w:pPr>
        <w:spacing w:after="0" w:line="138"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On May 5,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of MP Mask and Photronics paid Micron $135 million in exchange for a 49.99% interest in MP Mask, a license for photomask technology of Micron and certain supply agreements. Since the formation of the joint venture, the Company has received net distributions of approximately $4 million through October 31, 2010.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right="60" w:firstLine="220"/>
        <w:spacing w:after="0" w:line="290"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appointed the majority of the managers. The number of managers appointed by each party is subject to change as ownership interests change. Under the MP Mask joint venture operating agreement, the Company may be required to make additional capital contributions to the joint venture up to the maximum amount defined in the operating agreement. However, should the Board of Managers determine that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In December 2010, the Company made an add itional capital contribution of $4 million to the MP Mask joint venture related to a capital call requested by the joint venture.</w:t>
      </w:r>
    </w:p>
    <w:p>
      <w:pPr>
        <w:spacing w:after="0" w:line="199"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On May 19, 2009, the Company's capital lease agreement with Micron for the Company's state-of-the-art nanoFab facility ("U.S. nanoFab") in Boise, Idaho was canceled, at which time Photronics and Micron agreed to enter into a new lease agreement for the U.S. nanoFab building. Under provisions of the new lease agreement, quarterly lease payments were reduced, the lease term was extended, and ownership of the property will not transfer to the Company at the end of the lease term. As a result of the new lease agreement, the Company reduced its lease obligations and the carrying value of its assets under capital leases by approximately $28 million. Including the $28 million reduction in the carrying value of assets under capital leases, the Company's total investment in the purchase and equipping of the Company's U.S. nanoFab was approximately $178 million throu gh October 31, 2010. The U.S. nanoFab began production in the second fiscal quarter of 2008.</w:t>
      </w:r>
    </w:p>
    <w:p>
      <w:pPr>
        <w:spacing w:after="0" w:line="199"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The failure of Photronics or Micron to comply or execute under any of these agreements, capitalize on the use of existing technology or further develop technology could result in a significant disruption to the Company's business and technological activities, and could adversely affect the Company's operations and cash flows.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 significant reduction in orders from these customers could have a material, adverse effect on its sales and results of operations.</w:t>
      </w:r>
    </w:p>
    <w:p>
      <w:pPr>
        <w:spacing w:after="0" w:line="207" w:lineRule="exact"/>
        <w:rPr>
          <w:sz w:val="20"/>
          <w:szCs w:val="20"/>
          <w:color w:val="auto"/>
        </w:rPr>
      </w:pPr>
    </w:p>
    <w:p>
      <w:pPr>
        <w:ind w:right="120" w:firstLine="270"/>
        <w:spacing w:after="0" w:line="288" w:lineRule="auto"/>
        <w:rPr>
          <w:sz w:val="20"/>
          <w:szCs w:val="20"/>
          <w:color w:val="auto"/>
        </w:rPr>
      </w:pPr>
      <w:r>
        <w:rPr>
          <w:rFonts w:ascii="Arial" w:cs="Arial" w:eastAsia="Arial" w:hAnsi="Arial"/>
          <w:sz w:val="16"/>
          <w:szCs w:val="16"/>
          <w:color w:val="auto"/>
        </w:rPr>
        <w:t>Historically, the Company has sold a significant proportion of photomasks to a limited number of IC and FPD manufacturers. During fiscal 2010, one customer, Samsung Electronics Co., Ltd., accounted for approximately 19% of the Company's net sales. The Company's five largest customers, in the aggregate, accounted for approximately 39%, 42% and 44% of net sales in fiscal 2010, 2009, and 2008, respectively. None of the Company's customers has entered into a significant long-term agreement with the Company requiring them to purchase the Company's products. The loss of a significant customer or a significant reduction or delay in orders from any significant customer, (including reductions or delays due to customer departures from recent buying patterns), or an unfavorable change in market, economic, or competitive conditions in the semiconductor or FPD industrie s, could have a material, adverse effect on the Company's financial performance and business prospects. The continuing consolidation of semiconductor manufacturers or an economic downturn in the semiconductor industry may increase the likelihood of losing a significant customer and have an adverse effect on the Company's financial performance and business prospects.</w:t>
      </w:r>
    </w:p>
    <w:p>
      <w:pPr>
        <w:spacing w:after="0" w:line="168"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The Company depends on a small number of suppliers for equipment and raw materials and, if the Company's suppliers do not deliver their products to it, the Company may be unable to deliver its products to its customers, which could adversely affect its business and results of operations.</w:t>
      </w:r>
    </w:p>
    <w:p>
      <w:pPr>
        <w:spacing w:after="0" w:line="162"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The Company relies on a limited number of photomask equipment manufacturers to develop and supply the equipment it uses. These equipment manufacturers currently require lead times of up to 12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Further, the Company relies on equipment manufacturers to develop future generations of manufacturing equipment to meet its requirements. In addition, the manufacturing equipment necessary to produce advanced photomasks could become prohibitively expensive.</w:t>
      </w:r>
    </w:p>
    <w:p>
      <w:pPr>
        <w:spacing w:after="0" w:line="19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Company uses high precision quartz photomask blanks, pellicles, and electronic grade chemicals in its manufacturing processes. There are a limited number of suppliers of these raw materials and, for production of certain high-end photomasks, there is only one available supplier. The Company has no long-term contracts for the supply of these raw materials. Any delays or quality problems in connection with significant raw materials, particularly photomask blanks, could cause delays in the shipments of photomasks, which could have a material, adverse effect on the Company's business and results of operations. The fluctuation of foreign currency exchange rates, with respect to prices of equipment and raw materials used in manufacturing, could also have a material, adverse effect on the Company's bus iness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jc w:val="both"/>
        <w:spacing w:after="0" w:line="378" w:lineRule="auto"/>
        <w:rPr>
          <w:sz w:val="20"/>
          <w:szCs w:val="20"/>
          <w:color w:val="auto"/>
        </w:rPr>
      </w:pPr>
      <w:r>
        <w:rPr>
          <w:rFonts w:ascii="Arial" w:cs="Arial" w:eastAsia="Arial" w:hAnsi="Arial"/>
          <w:sz w:val="15"/>
          <w:szCs w:val="15"/>
          <w:b w:val="1"/>
          <w:bCs w:val="1"/>
          <w:color w:val="auto"/>
        </w:rPr>
        <w:t>The Company faces risks associated with the use of sophisticated equipment and complex manufacturing processes and technologies. The inability of the Company to effectively utilize such equipment and perform such processes could have a material, adverse effect on its business and results of operations.</w:t>
      </w:r>
    </w:p>
    <w:p>
      <w:pPr>
        <w:spacing w:after="0" w:line="111"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The Company's complex manufacturing processes require the use of expensive and technologically sophisticated equipment and materials, and are continuously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it will not experience these or other manufacturing difficulties, or be subject to increased costs or pr oduction capacity constraints in the future, any of which could result in a loss of customers or could otherwise have a material, adverse effect on its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debt agreements limit its ability to obtain financing and may obligate the Company to repay debt before its maturity.</w:t>
      </w:r>
    </w:p>
    <w:p>
      <w:pPr>
        <w:spacing w:after="0" w:line="258"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As of October 31, 2010, the Company had $5.0 million outstanding under its revolving credit facility. Outstanding bank debt (excluding capital leases) was reduced by $24.8 million during the year ended October 31, 2010, with cash provided by operations. Financial covenants related to the bank debts are Total Leverage Ratio, Minimum Fixed Charge Ratio, Maximum Last Twelve Months (LTM) Cap Ex Payments and Minimum Unrestricted Cash Balances. Existing covenant restrictions limit the Company's ability to obtain additional debt financing and, should Photronics be unable to meet one or more of these covenants, its lenders may require the Company to repay any outstanding balance prior to the expiration date of the agreements. The Company's ability to comply with the financial and other covenants in its debt agreements may be affected by worsening economic or busine ss conditions, or other events. The Company cannot assure that additional sources of financing would be available to pay off any long-term borrowings, so as to avoid default. Should the Company default on certain of its long-term borrowings, a cross default would occur on other long-term borrowings, unless amended or waived.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prior and future acquisitions may entail certain operational and financial risks.</w:t>
      </w:r>
    </w:p>
    <w:p>
      <w:pPr>
        <w:spacing w:after="0" w:line="258" w:lineRule="exact"/>
        <w:rPr>
          <w:sz w:val="20"/>
          <w:szCs w:val="20"/>
          <w:color w:val="auto"/>
        </w:rPr>
      </w:pPr>
    </w:p>
    <w:p>
      <w:pPr>
        <w:ind w:firstLine="270"/>
        <w:spacing w:after="0" w:line="309" w:lineRule="auto"/>
        <w:rPr>
          <w:sz w:val="20"/>
          <w:szCs w:val="20"/>
          <w:color w:val="auto"/>
        </w:rPr>
      </w:pPr>
      <w:r>
        <w:rPr>
          <w:rFonts w:ascii="Arial" w:cs="Arial" w:eastAsia="Arial" w:hAnsi="Arial"/>
          <w:sz w:val="15"/>
          <w:szCs w:val="15"/>
          <w:color w:val="auto"/>
        </w:rPr>
        <w:t>The Company has made significant acquisitions throughout its history. Acquisitions have focused on increasing its manufacturing presence in Asia, including its acquisition in 2000 of Precision Semiconductor Mask Corporation, a Taiwanese photomask manufacturer, and in 2001 of PK Ltd., a Korean photomask manufacturer, and increasing its technology base through the MP Mask joint venture between Photronics and Micron in 2006. The Company may make additional acquisitions in the future. Acquisitions place significant demands on the Company's administrative, operational and financial personnel and systems. Managing acquired operations entails numerous operational and financial risks, including difficulties in the assimilation of acquired operations, diversion of management's attention from other business concerns, managing assets in multiple geographic regions, am ortization of acquired intangible assets and the potential loss of key employees of acquired operations. Sales of acquired operations may decline following an acquisition, particularly if there is an overlap of customers served by the Company and the acquired operation and these customers transition to another vendor in order to ensure a second source of supply. Furthermore, the Company may be required to utilize its cash reserves and/or issue new securities for future acquisitions, which could have a dilutive effect on its earnings per share.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cash flow from operations and current holdings of cash may not be adequate for its current and long-term needs.</w:t>
      </w:r>
    </w:p>
    <w:p>
      <w:pPr>
        <w:spacing w:after="0" w:line="258" w:lineRule="exact"/>
        <w:rPr>
          <w:sz w:val="20"/>
          <w:szCs w:val="20"/>
          <w:color w:val="auto"/>
        </w:rPr>
      </w:pPr>
    </w:p>
    <w:p>
      <w:pPr>
        <w:ind w:right="200" w:firstLine="270"/>
        <w:spacing w:after="0" w:line="290" w:lineRule="auto"/>
        <w:rPr>
          <w:sz w:val="20"/>
          <w:szCs w:val="20"/>
          <w:color w:val="auto"/>
        </w:rPr>
      </w:pPr>
      <w:r>
        <w:rPr>
          <w:rFonts w:ascii="Arial" w:cs="Arial" w:eastAsia="Arial" w:hAnsi="Arial"/>
          <w:sz w:val="16"/>
          <w:szCs w:val="16"/>
          <w:color w:val="auto"/>
        </w:rPr>
        <w:t>The Company's liquidity is highly dependent on its sales volume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provide assurance that additional sources of financing would be available to it on commercially favorable terms, should its cash requirements exceed its cash available from operations, existing cash, and cash available under its credit facility.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60"/>
        <w:spacing w:after="0" w:line="275" w:lineRule="auto"/>
        <w:rPr>
          <w:sz w:val="20"/>
          <w:szCs w:val="20"/>
          <w:color w:val="auto"/>
        </w:rPr>
      </w:pPr>
      <w:r>
        <w:rPr>
          <w:rFonts w:ascii="Arial" w:cs="Arial" w:eastAsia="Arial" w:hAnsi="Arial"/>
          <w:sz w:val="18"/>
          <w:szCs w:val="18"/>
          <w:b w:val="1"/>
          <w:bCs w:val="1"/>
          <w:color w:val="auto"/>
        </w:rPr>
        <w:t>The Company may fail to realize projected benefits related to its 2009 restructurings in China and the U.K. or, it may incur unforeseen charges related to any other possible future facility closures or restructurings.</w:t>
      </w:r>
    </w:p>
    <w:p>
      <w:pPr>
        <w:spacing w:after="0" w:line="180"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In order to lower its operating costs and increase its manufacturing efficiencies, the Company ceased the manufacture of photomasks at its facility in Manchester, U.K., in January 2009 and at its facility in Shanghai, China, in July 2009. However, the Company cannot assure that these actions will result in its realizing the projected benefits related to these restructurings.</w:t>
      </w:r>
    </w:p>
    <w:p>
      <w:pPr>
        <w:spacing w:after="0" w:line="22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Company also cannot assure that there will not be additional facility closures or other restructurings in the near or long-term, nor can it assure that it will not incur significant charges should there be any additional future facility closures or restructurings.</w:t>
      </w:r>
    </w:p>
    <w:p>
      <w:pPr>
        <w:spacing w:after="0" w:line="18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Company operates in a highly competitive industry; should the Company be unable to meet its customers' requirements for product quality, timeliness of delivery or technical capabilities, it could adversely affect the Company's sales.</w:t>
      </w:r>
    </w:p>
    <w:p>
      <w:pPr>
        <w:spacing w:after="0" w:line="207" w:lineRule="exact"/>
        <w:rPr>
          <w:sz w:val="20"/>
          <w:szCs w:val="20"/>
          <w:color w:val="auto"/>
        </w:rPr>
      </w:pPr>
    </w:p>
    <w:p>
      <w:pPr>
        <w:ind w:right="40" w:firstLine="270"/>
        <w:spacing w:after="0" w:line="308" w:lineRule="auto"/>
        <w:rPr>
          <w:sz w:val="20"/>
          <w:szCs w:val="20"/>
          <w:color w:val="auto"/>
        </w:rPr>
      </w:pPr>
      <w:r>
        <w:rPr>
          <w:rFonts w:ascii="Arial" w:cs="Arial" w:eastAsia="Arial" w:hAnsi="Arial"/>
          <w:sz w:val="15"/>
          <w:szCs w:val="15"/>
          <w:color w:val="auto"/>
        </w:rPr>
        <w:t>The photomask industry is highly competitive, and most of the Company's customers utilize more than one photomask supplier. The Company's competitors include Compugraphics, Inc., Dai Nippon Printing Co., Ltd., Hoya Corporation, SK-Electronics Co., Ltd., Taiwan Mask Corporation, Toppan Printing Co., Ltd. and Toppan Chunghwa Electronics Corporation. The Company also competes with semiconductor manufacturers' captive photomask manufacturing operations, some of which market their photomask manufacturing services to outside customers. The Company expects to face continued competition from these and other suppliers in the future. Many of the Company's competitors have substantially greater financial, technical, sales, marketing and other resources than it has.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requirements could have a material, adverse effect on its business and results of operations. In the past, competition led to pressure to reduce prices which, the Company believes, contributed to the decrease in the number of independent photomask suppliers. This pressure to reduce prices may continue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8"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International sales were approximately 71%, 72% and 77% of the Company's net sales in fiscal 2010, 2009 and 2008, respectively. The Company believes that maintaining significant international operations requires it to have, among other things, a local presence in the geographic markets that it supplies. This requires significant investments of financial, managerial, operational, and other resources. Since 1996, the Company has significantly expanded its operations in international markets by acquiring existing businesses in Europe, establishing a manufacturing operation in Singapore, acquiring majority equity interests in photomask manufacturing operations in Korea and Taiwan and buildi ng a new manufacturing facility for FPD photomasks in Taiwan.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199"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Operations outside of the United States are subject to inherent risks, including fluctuations in exchange rates, unstable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161"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Changes in foreign currency exchange rates could materially, adversely affect the Company's business, results of operations, or financial condition.</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2" w:name="page13"/>
    <w:bookmarkEnd w:id="12"/>
    <w:p>
      <w:pPr>
        <w:ind w:right="20" w:firstLine="220"/>
        <w:spacing w:after="0" w:line="291" w:lineRule="auto"/>
        <w:rPr>
          <w:sz w:val="20"/>
          <w:szCs w:val="20"/>
          <w:color w:val="auto"/>
        </w:rPr>
      </w:pPr>
      <w:r>
        <w:rPr>
          <w:rFonts w:ascii="Arial" w:cs="Arial" w:eastAsia="Arial" w:hAnsi="Arial"/>
          <w:sz w:val="16"/>
          <w:szCs w:val="16"/>
          <w:color w:val="auto"/>
        </w:rPr>
        <w:t>The Company's financial statements are prepared in accordance with accounting principals generally accepted in the United States of America (U.S. GAAP) and are reported in U.S. dollars. The Company's international operations have transactions and balances denominated in currencies other than the U.S. dollar, primarily the Korean won, New Taiwan dollar, Japanese yen, Singapore dollar, euro, and the pound sterling. In fiscal 2010, the Company recorded a net gain of $2.0 million in its statement of operations from changes in foreign currency rates, while its net assets were increased by $16.6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16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207" w:lineRule="exact"/>
        <w:rPr>
          <w:sz w:val="20"/>
          <w:szCs w:val="20"/>
          <w:color w:val="auto"/>
        </w:rPr>
      </w:pPr>
    </w:p>
    <w:p>
      <w:pPr>
        <w:jc w:val="both"/>
        <w:ind w:right="340" w:firstLine="270"/>
        <w:spacing w:after="0" w:line="298" w:lineRule="auto"/>
        <w:rPr>
          <w:sz w:val="20"/>
          <w:szCs w:val="20"/>
          <w:color w:val="auto"/>
        </w:rPr>
      </w:pPr>
      <w:r>
        <w:rPr>
          <w:rFonts w:ascii="Arial" w:cs="Arial" w:eastAsia="Arial" w:hAnsi="Arial"/>
          <w:sz w:val="16"/>
          <w:szCs w:val="16"/>
          <w:color w:val="auto"/>
        </w:rPr>
        <w:t>The Company's success depends, in part, upon key managerial, engineering and technical personnel, as well as its ability to continue to attract and retain additional qualified personnel. The loss of certain key personnel could have a material, adverse effect upon the Company's business and results of operations. There can be no assurance that the Company can retain its key managerial, and technical employees, or that it can attract similar additional employees in the future. The Company believes that it provides competitive compensation and incentive packages to its employees.</w:t>
      </w:r>
    </w:p>
    <w:p>
      <w:pPr>
        <w:spacing w:after="0" w:line="161" w:lineRule="exact"/>
        <w:rPr>
          <w:sz w:val="20"/>
          <w:szCs w:val="20"/>
          <w:color w:val="auto"/>
        </w:rPr>
      </w:pPr>
    </w:p>
    <w:p>
      <w:pPr>
        <w:ind w:right="660"/>
        <w:spacing w:after="0" w:line="378" w:lineRule="auto"/>
        <w:rPr>
          <w:sz w:val="20"/>
          <w:szCs w:val="20"/>
          <w:color w:val="auto"/>
        </w:rPr>
      </w:pPr>
      <w:r>
        <w:rPr>
          <w:rFonts w:ascii="Arial" w:cs="Arial" w:eastAsia="Arial" w:hAnsi="Arial"/>
          <w:sz w:val="15"/>
          <w:szCs w:val="15"/>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38"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relating to manufacturing processes is not patented and may not be patentable. The Company cannot offer assurance that:</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will be able to adequately protect its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competitors will not independently develop similar technology;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international intellectual property laws will adequately protect its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or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may be unprepared for changes to environmental laws and regulations and may incur liabilities arising from environmental matters.</w:t>
      </w:r>
    </w:p>
    <w:p>
      <w:pPr>
        <w:spacing w:after="0" w:line="254" w:lineRule="exact"/>
        <w:rPr>
          <w:sz w:val="20"/>
          <w:szCs w:val="20"/>
          <w:color w:val="auto"/>
        </w:rPr>
      </w:pPr>
    </w:p>
    <w:p>
      <w:pPr>
        <w:ind w:right="60" w:firstLine="220"/>
        <w:spacing w:after="0" w:line="256"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197"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color w:val="auto"/>
        </w:rPr>
        <w:t>In addition, these laws and regulations may impose clean-up liabilities on current and former owners and operators of real property, without regard to fault, so that these liabilities may be joint and several with other parties. In the past, the Company has been involved in remediation activities relating to its properties. The Company believes, based upon current information, that environmental liabilities relating to these activities or other matters are not material to its financial statements. However, there can be no assurances that the Company will not incur any material environmental liabilities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3" w:name="page14"/>
    <w:bookmarkEnd w:id="13"/>
    <w:p>
      <w:pPr>
        <w:ind w:right="480"/>
        <w:spacing w:after="0" w:line="275"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180"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The Company's facilities in Taiwan are located in a seismically active area. In addition, a major catastrophe such as an earthquake or other natural disaster, labor strikes, or work stoppage at any of the Company's manufacturing facilities could result in a prolonged interruption of its business. Any disruption resulting from these events could cause significant delays in shipments of the Company's products and the loss of sales and customers, which could have a material, adverse effect on the Company's financial position,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sales can be impacted by the health and stability of the general economy, which could adversely affect its operations and cash flows.</w:t>
      </w:r>
    </w:p>
    <w:p>
      <w:pPr>
        <w:spacing w:after="0" w:line="28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Unfavorable general economic conditions in the U.S. or other countries in which the Company does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manufacturers, which could adversely affect the Company's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Company's credit standing could adversely affect its financial position.</w:t>
      </w:r>
    </w:p>
    <w:p>
      <w:pPr>
        <w:spacing w:after="0" w:line="258"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The Company's ability to raise debt capital can be materially influenced by acquisitions, dispositions, other investment decisions, and the results of its operations in the near-term. Should the Company's credit standing decline, its cost and ability to raise needed working and investment capital could adversely affect its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8"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8"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The Company's business could be adversely affected by terrorist acts, major natural disasters, widespread outbreaks of infectious diseases, or the outbreak or escalation of wars, especially in the Asian region where the Company generates a significant portion of its sales. Such events in the geographic regions in which the Company does business, including recent escalations of political tensions and military operations within the Korean Peninsula where a major portion of the Company's foreign operations are located, could have material, adverse impacts on its sales volume, cost of raw materials, earnings, cash flows and financial condition.</w:t>
      </w:r>
    </w:p>
    <w:p>
      <w:pPr>
        <w:spacing w:after="0" w:line="19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The fair value of certain warrants issued on the Company's common stock is subject to fluctuations with the market price of the Company's common stock, and may have a material, adverse effect on the Company's results of operations.</w:t>
      </w:r>
    </w:p>
    <w:p>
      <w:pPr>
        <w:spacing w:after="0" w:line="207" w:lineRule="exact"/>
        <w:rPr>
          <w:sz w:val="20"/>
          <w:szCs w:val="20"/>
          <w:color w:val="auto"/>
        </w:rPr>
      </w:pPr>
    </w:p>
    <w:p>
      <w:pPr>
        <w:ind w:right="140" w:firstLine="270"/>
        <w:spacing w:after="0" w:line="289" w:lineRule="auto"/>
        <w:rPr>
          <w:sz w:val="20"/>
          <w:szCs w:val="20"/>
          <w:color w:val="auto"/>
        </w:rPr>
      </w:pPr>
      <w:r>
        <w:rPr>
          <w:rFonts w:ascii="Arial" w:cs="Arial" w:eastAsia="Arial" w:hAnsi="Arial"/>
          <w:sz w:val="16"/>
          <w:szCs w:val="16"/>
          <w:color w:val="auto"/>
        </w:rPr>
        <w:t>On May 15, 2009, in connection with an amendment to the Company's then existing credit facility, Photronics issued 2.1 million warrants to purchase the Company's common stock, approximately 0.3 million of which were outstanding at October 31, 2010. As a result of certain net cash settleable put provisions in the warrant agreement, the warrants were recorded as a liability during fiscal 2009 and are subsequently being reported at fair value. The warrants are each exercisable for one share of common stock and have an exercise price of $0.01. Therefore, changes in the market price of the Company's common stock could result in a significant change in the fair value of the warrants, which would result in a charge or credit to other income (expense) in the Company's statements of operations. The Company, as a result of changes in the market price of its common st ock, recorded non-cash losses of $0.9 million and $0.3 million in fiscal years 2010 and 2009, respectively. Future changes in the market price of the Company's common stock may have a material, adverse effect on the Company's results of operations on a non-cash basis.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right="80"/>
        <w:spacing w:after="0" w:line="339" w:lineRule="auto"/>
        <w:rPr>
          <w:sz w:val="20"/>
          <w:szCs w:val="20"/>
          <w:color w:val="auto"/>
        </w:rPr>
      </w:pPr>
      <w:r>
        <w:rPr>
          <w:rFonts w:ascii="Arial" w:cs="Arial" w:eastAsia="Arial" w:hAnsi="Arial"/>
          <w:sz w:val="16"/>
          <w:szCs w:val="16"/>
          <w:b w:val="1"/>
          <w:bCs w:val="1"/>
          <w:color w:val="auto"/>
        </w:rPr>
        <w:t>Certain warrants issued by the Company include a "put" provision, giving the holders the option to sell the warrants to the Company at approximately the market price of the Company's common stock, which may have a material, adverse effect on the Company's cash flows.</w:t>
      </w:r>
    </w:p>
    <w:p>
      <w:pPr>
        <w:spacing w:after="0" w:line="134" w:lineRule="exact"/>
        <w:rPr>
          <w:sz w:val="20"/>
          <w:szCs w:val="20"/>
          <w:color w:val="auto"/>
        </w:rPr>
      </w:pPr>
    </w:p>
    <w:p>
      <w:pPr>
        <w:ind w:right="240" w:firstLine="220"/>
        <w:spacing w:after="0" w:line="256" w:lineRule="auto"/>
        <w:rPr>
          <w:sz w:val="20"/>
          <w:szCs w:val="20"/>
          <w:color w:val="auto"/>
        </w:rPr>
      </w:pPr>
      <w:r>
        <w:rPr>
          <w:rFonts w:ascii="Arial" w:cs="Arial" w:eastAsia="Arial" w:hAnsi="Arial"/>
          <w:sz w:val="18"/>
          <w:szCs w:val="18"/>
          <w:color w:val="auto"/>
        </w:rPr>
        <w:t>The warrants discussed above include a put provision which may be exercised from May 15, 2012, through the expiration of the warrants on May 15, 2014. The put provision is only exercisable if the Company's common stock is not traded on a national exchange. As of October 31, 2010, approximately 300,000 warrants were outstanding that included a put provision. The purchase of a significant amount of the Company's common stock by Photronics under the put provision may have a material, adverse effect on the Company's cash flows.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Servicing the Company's debt requires a significant amount of cash, and the Company may not have sufficient cash flow from its operations to pay its indebtedness.</w:t>
      </w:r>
    </w:p>
    <w:p>
      <w:pPr>
        <w:spacing w:after="0" w:line="207"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Company's ability to make scheduled payments of debt principal and interest or to refinance its indebtedness depends on its future performance, which is subject to economic, financial, competitive and other factors beyond the Company's control. The Company's business may not continue to generate sufficient cash flow from operations in the future to both service its debt and make necessary capital expenditures. If the Company is unable to generate such cash flow, it may be required to adopt one or more alternatives, such as selling assets, restructuring debt or obtaining additional equity capital on terms that may be onerous or highly dilutive. The Company's ability to refinance its indebtedness will depend upon the conditions in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59"/>
        </w:trPr>
        <w:tc>
          <w:tcPr>
            <w:tcW w:w="828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ITEM 2. DESCRIPTION OF PROPERTY</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8280" w:type="dxa"/>
            <w:vAlign w:val="bottom"/>
            <w:gridSpan w:val="2"/>
          </w:tcPr>
          <w:p>
            <w:pPr>
              <w:ind w:left="280"/>
              <w:spacing w:after="0"/>
              <w:rPr>
                <w:sz w:val="20"/>
                <w:szCs w:val="20"/>
                <w:color w:val="auto"/>
              </w:rPr>
            </w:pPr>
            <w:r>
              <w:rPr>
                <w:rFonts w:ascii="Arial" w:cs="Arial" w:eastAsia="Arial" w:hAnsi="Arial"/>
                <w:sz w:val="18"/>
                <w:szCs w:val="18"/>
                <w:color w:val="auto"/>
                <w:w w:val="95"/>
              </w:rPr>
              <w:t>The following table presents certain information about the Company's photomask manufacturing facilities: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46"/>
        </w:trPr>
        <w:tc>
          <w:tcPr>
            <w:tcW w:w="8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Type of</w:t>
            </w:r>
          </w:p>
        </w:tc>
      </w:tr>
      <w:tr>
        <w:trPr>
          <w:trHeight w:val="252"/>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60" w:type="dxa"/>
            <w:vAlign w:val="bottom"/>
            <w:tcBorders>
              <w:bottom w:val="single" w:sz="8" w:color="C0C0C0"/>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260" w:type="dxa"/>
            <w:vAlign w:val="bottom"/>
            <w:tcBorders>
              <w:bottom w:val="single" w:sz="8" w:color="C0C0C0"/>
            </w:tcBorders>
          </w:tcPr>
          <w:p>
            <w:pPr>
              <w:spacing w:after="0"/>
              <w:rPr>
                <w:sz w:val="21"/>
                <w:szCs w:val="21"/>
                <w:color w:val="auto"/>
              </w:rPr>
            </w:pPr>
          </w:p>
        </w:tc>
      </w:tr>
      <w:tr>
        <w:trPr>
          <w:trHeight w:val="243"/>
        </w:trPr>
        <w:tc>
          <w:tcPr>
            <w:tcW w:w="8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Allen, Texas</w:t>
            </w:r>
          </w:p>
        </w:tc>
        <w:tc>
          <w:tcPr>
            <w:tcW w:w="860" w:type="dxa"/>
            <w:vAlign w:val="bottom"/>
            <w:gridSpan w:val="2"/>
            <w:shd w:val="clear" w:color="auto" w:fill="C0C0C0"/>
          </w:tcPr>
          <w:p>
            <w:pPr>
              <w:jc w:val="center"/>
              <w:ind w:right="240"/>
              <w:spacing w:after="0"/>
              <w:rPr>
                <w:sz w:val="20"/>
                <w:szCs w:val="20"/>
                <w:color w:val="auto"/>
              </w:rPr>
            </w:pPr>
            <w:r>
              <w:rPr>
                <w:rFonts w:ascii="Arial" w:cs="Arial" w:eastAsia="Arial" w:hAnsi="Arial"/>
                <w:sz w:val="18"/>
                <w:szCs w:val="18"/>
                <w:color w:val="auto"/>
                <w:w w:val="87"/>
              </w:rPr>
              <w:t>Owned</w:t>
            </w:r>
          </w:p>
        </w:tc>
      </w:tr>
      <w:tr>
        <w:trPr>
          <w:trHeight w:val="235"/>
        </w:trPr>
        <w:tc>
          <w:tcPr>
            <w:tcW w:w="8280" w:type="dxa"/>
            <w:vAlign w:val="bottom"/>
            <w:gridSpan w:val="2"/>
          </w:tcPr>
          <w:p>
            <w:pPr>
              <w:spacing w:after="0"/>
              <w:rPr>
                <w:sz w:val="20"/>
                <w:szCs w:val="20"/>
                <w:color w:val="auto"/>
              </w:rPr>
            </w:pPr>
            <w:r>
              <w:rPr>
                <w:rFonts w:ascii="Arial" w:cs="Arial" w:eastAsia="Arial" w:hAnsi="Arial"/>
                <w:sz w:val="18"/>
                <w:szCs w:val="18"/>
                <w:color w:val="auto"/>
              </w:rPr>
              <w:t>Boise, Idaho</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Leased</w:t>
            </w:r>
          </w:p>
        </w:tc>
      </w:tr>
      <w:tr>
        <w:trPr>
          <w:trHeight w:val="251"/>
        </w:trPr>
        <w:tc>
          <w:tcPr>
            <w:tcW w:w="8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Brookfield, Connecticut</w:t>
            </w:r>
          </w:p>
        </w:tc>
        <w:tc>
          <w:tcPr>
            <w:tcW w:w="860" w:type="dxa"/>
            <w:vAlign w:val="bottom"/>
            <w:gridSpan w:val="2"/>
            <w:shd w:val="clear" w:color="auto" w:fill="C0C0C0"/>
          </w:tcPr>
          <w:p>
            <w:pPr>
              <w:jc w:val="center"/>
              <w:ind w:right="240"/>
              <w:spacing w:after="0"/>
              <w:rPr>
                <w:sz w:val="20"/>
                <w:szCs w:val="20"/>
                <w:color w:val="auto"/>
              </w:rPr>
            </w:pPr>
            <w:r>
              <w:rPr>
                <w:rFonts w:ascii="Arial" w:cs="Arial" w:eastAsia="Arial" w:hAnsi="Arial"/>
                <w:sz w:val="18"/>
                <w:szCs w:val="18"/>
                <w:color w:val="auto"/>
                <w:w w:val="87"/>
              </w:rPr>
              <w:t>Owned</w:t>
            </w:r>
          </w:p>
        </w:tc>
      </w:tr>
      <w:tr>
        <w:trPr>
          <w:trHeight w:val="235"/>
        </w:trPr>
        <w:tc>
          <w:tcPr>
            <w:tcW w:w="8280" w:type="dxa"/>
            <w:vAlign w:val="bottom"/>
            <w:gridSpan w:val="2"/>
          </w:tcPr>
          <w:p>
            <w:pPr>
              <w:spacing w:after="0"/>
              <w:rPr>
                <w:sz w:val="20"/>
                <w:szCs w:val="20"/>
                <w:color w:val="auto"/>
              </w:rPr>
            </w:pPr>
            <w:r>
              <w:rPr>
                <w:rFonts w:ascii="Arial" w:cs="Arial" w:eastAsia="Arial" w:hAnsi="Arial"/>
                <w:sz w:val="18"/>
                <w:szCs w:val="18"/>
                <w:color w:val="auto"/>
              </w:rPr>
              <w:t>Bridgend, South Wales</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Leased</w:t>
            </w:r>
          </w:p>
        </w:tc>
      </w:tr>
      <w:tr>
        <w:trPr>
          <w:trHeight w:val="251"/>
        </w:trPr>
        <w:tc>
          <w:tcPr>
            <w:tcW w:w="8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Cheonan, Korea</w:t>
            </w:r>
          </w:p>
        </w:tc>
        <w:tc>
          <w:tcPr>
            <w:tcW w:w="860" w:type="dxa"/>
            <w:vAlign w:val="bottom"/>
            <w:gridSpan w:val="2"/>
            <w:shd w:val="clear" w:color="auto" w:fill="C0C0C0"/>
          </w:tcPr>
          <w:p>
            <w:pPr>
              <w:jc w:val="center"/>
              <w:ind w:right="240"/>
              <w:spacing w:after="0"/>
              <w:rPr>
                <w:sz w:val="20"/>
                <w:szCs w:val="20"/>
                <w:color w:val="auto"/>
              </w:rPr>
            </w:pPr>
            <w:r>
              <w:rPr>
                <w:rFonts w:ascii="Arial" w:cs="Arial" w:eastAsia="Arial" w:hAnsi="Arial"/>
                <w:sz w:val="18"/>
                <w:szCs w:val="18"/>
                <w:color w:val="auto"/>
                <w:w w:val="87"/>
              </w:rPr>
              <w:t>Owned</w:t>
            </w:r>
          </w:p>
        </w:tc>
      </w:tr>
      <w:tr>
        <w:trPr>
          <w:trHeight w:val="235"/>
        </w:trPr>
        <w:tc>
          <w:tcPr>
            <w:tcW w:w="8280" w:type="dxa"/>
            <w:vAlign w:val="bottom"/>
            <w:gridSpan w:val="2"/>
          </w:tcPr>
          <w:p>
            <w:pPr>
              <w:spacing w:after="0"/>
              <w:rPr>
                <w:sz w:val="20"/>
                <w:szCs w:val="20"/>
                <w:color w:val="auto"/>
              </w:rPr>
            </w:pPr>
            <w:r>
              <w:rPr>
                <w:rFonts w:ascii="Arial" w:cs="Arial" w:eastAsia="Arial" w:hAnsi="Arial"/>
                <w:sz w:val="18"/>
                <w:szCs w:val="18"/>
                <w:color w:val="auto"/>
              </w:rPr>
              <w:t>Dresden, Germany</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Leased</w:t>
            </w:r>
          </w:p>
        </w:tc>
      </w:tr>
      <w:tr>
        <w:trPr>
          <w:trHeight w:val="251"/>
        </w:trPr>
        <w:tc>
          <w:tcPr>
            <w:tcW w:w="8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Hsinchu, Taiwan</w:t>
            </w:r>
          </w:p>
        </w:tc>
        <w:tc>
          <w:tcPr>
            <w:tcW w:w="860" w:type="dxa"/>
            <w:vAlign w:val="bottom"/>
            <w:gridSpan w:val="2"/>
            <w:shd w:val="clear" w:color="auto" w:fill="C0C0C0"/>
          </w:tcPr>
          <w:p>
            <w:pPr>
              <w:jc w:val="center"/>
              <w:ind w:right="240"/>
              <w:spacing w:after="0"/>
              <w:rPr>
                <w:sz w:val="20"/>
                <w:szCs w:val="20"/>
                <w:color w:val="auto"/>
              </w:rPr>
            </w:pPr>
            <w:r>
              <w:rPr>
                <w:rFonts w:ascii="Arial" w:cs="Arial" w:eastAsia="Arial" w:hAnsi="Arial"/>
                <w:sz w:val="18"/>
                <w:szCs w:val="18"/>
                <w:color w:val="auto"/>
                <w:w w:val="84"/>
              </w:rPr>
              <w:t>Leased</w:t>
            </w:r>
          </w:p>
        </w:tc>
      </w:tr>
      <w:tr>
        <w:trPr>
          <w:trHeight w:val="235"/>
        </w:trPr>
        <w:tc>
          <w:tcPr>
            <w:tcW w:w="828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Leased</w:t>
            </w:r>
          </w:p>
        </w:tc>
      </w:tr>
      <w:tr>
        <w:trPr>
          <w:trHeight w:val="251"/>
        </w:trPr>
        <w:tc>
          <w:tcPr>
            <w:tcW w:w="8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Taichung, Taiwan</w:t>
            </w:r>
          </w:p>
        </w:tc>
        <w:tc>
          <w:tcPr>
            <w:tcW w:w="860" w:type="dxa"/>
            <w:vAlign w:val="bottom"/>
            <w:gridSpan w:val="2"/>
            <w:shd w:val="clear" w:color="auto" w:fill="C0C0C0"/>
          </w:tcPr>
          <w:p>
            <w:pPr>
              <w:ind w:left="60"/>
              <w:spacing w:after="0"/>
              <w:rPr>
                <w:sz w:val="20"/>
                <w:szCs w:val="20"/>
                <w:color w:val="auto"/>
              </w:rPr>
            </w:pPr>
            <w:r>
              <w:rPr>
                <w:rFonts w:ascii="Arial" w:cs="Arial" w:eastAsia="Arial" w:hAnsi="Arial"/>
                <w:sz w:val="18"/>
                <w:szCs w:val="18"/>
                <w:color w:val="auto"/>
                <w:w w:val="92"/>
              </w:rPr>
              <w:t>Owned (1)</w:t>
            </w:r>
          </w:p>
        </w:tc>
      </w:tr>
      <w:tr>
        <w:trPr>
          <w:trHeight w:val="430"/>
        </w:trPr>
        <w:tc>
          <w:tcPr>
            <w:tcW w:w="8280" w:type="dxa"/>
            <w:vAlign w:val="bottom"/>
            <w:gridSpan w:val="2"/>
          </w:tcPr>
          <w:p>
            <w:pPr>
              <w:spacing w:after="0"/>
              <w:rPr>
                <w:sz w:val="20"/>
                <w:szCs w:val="20"/>
                <w:color w:val="auto"/>
              </w:rPr>
            </w:pPr>
            <w:r>
              <w:rPr>
                <w:rFonts w:ascii="Arial" w:cs="Arial" w:eastAsia="Arial" w:hAnsi="Arial"/>
                <w:sz w:val="18"/>
                <w:szCs w:val="18"/>
                <w:color w:val="auto"/>
              </w:rPr>
              <w:t>(1)   The Company owns its manufacturing facility in Taichung, however, it leases the related land.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37" w:lineRule="exact"/>
        <w:rPr>
          <w:sz w:val="20"/>
          <w:szCs w:val="20"/>
          <w:color w:val="auto"/>
        </w:rPr>
      </w:pPr>
    </w:p>
    <w:p>
      <w:pPr>
        <w:ind w:right="400" w:firstLine="220"/>
        <w:spacing w:after="0" w:line="268"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8"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SHAREHOLDERS' MATTERS</w:t>
      </w:r>
    </w:p>
    <w:p>
      <w:pPr>
        <w:spacing w:after="0" w:line="231" w:lineRule="exact"/>
        <w:rPr>
          <w:sz w:val="20"/>
          <w:szCs w:val="20"/>
          <w:color w:val="auto"/>
        </w:rPr>
      </w:pPr>
    </w:p>
    <w:p>
      <w:pPr>
        <w:ind w:right="420" w:firstLine="220"/>
        <w:spacing w:after="0" w:line="332" w:lineRule="auto"/>
        <w:rPr>
          <w:sz w:val="20"/>
          <w:szCs w:val="20"/>
          <w:color w:val="auto"/>
        </w:rPr>
      </w:pPr>
      <w:r>
        <w:rPr>
          <w:rFonts w:ascii="Arial" w:cs="Arial" w:eastAsia="Arial" w:hAnsi="Arial"/>
          <w:sz w:val="16"/>
          <w:szCs w:val="16"/>
          <w:color w:val="auto"/>
        </w:rPr>
        <w:t>The Common Stock of the Company is traded on the NASDAQ Global Select Market ("NASDAQ") under the symbol PLAB. The table below shows the range of high and low sale prices per share for each quarter for fiscal year 2010 and 2009, as reported by the NASDAQ Global Select Market.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High</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Low</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Fiscal Year Ended October 31, 2010:</w:t>
            </w:r>
          </w:p>
        </w:tc>
        <w:tc>
          <w:tcPr>
            <w:tcW w:w="4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Quarter Ended January 31, 2010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Quarter Ended May 2, 2010</w:t>
            </w:r>
          </w:p>
        </w:tc>
        <w:tc>
          <w:tcPr>
            <w:tcW w:w="5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5.98</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Quarter Ended August 1, 2010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Quarter Ended October 31, 2010</w:t>
            </w:r>
          </w:p>
        </w:tc>
        <w:tc>
          <w:tcPr>
            <w:tcW w:w="5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6.86</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Fiscal Year Ended November 1, 2009:</w:t>
            </w:r>
          </w:p>
        </w:tc>
        <w:tc>
          <w:tcPr>
            <w:tcW w:w="4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Quarter Ended February 1,2009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Quarter Ended May 3, 2009</w:t>
            </w:r>
          </w:p>
        </w:tc>
        <w:tc>
          <w:tcPr>
            <w:tcW w:w="5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1.82</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Quarter Ended August 2, 2009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Quarter Ended November 1, 2009</w:t>
            </w:r>
          </w:p>
        </w:tc>
        <w:tc>
          <w:tcPr>
            <w:tcW w:w="5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5.49</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On December 31, 2010, the closing sale price of the Common Stock per the NASDAQ Global Select Market was $5.91. Based on information available to the Company, the Company believes it has approximately 7,000 shareholders.</w:t>
      </w:r>
    </w:p>
    <w:p>
      <w:pPr>
        <w:spacing w:after="0" w:line="213"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the Company's revolving credit facility precludes it from paying cash dividends.</w:t>
      </w:r>
    </w:p>
    <w:p>
      <w:pPr>
        <w:spacing w:after="0" w:line="213"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2011 definitive Proxy Statement into Item 12 of Part III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8" w:lineRule="exact"/>
        <w:rPr>
          <w:sz w:val="20"/>
          <w:szCs w:val="20"/>
          <w:color w:val="auto"/>
        </w:rPr>
      </w:pPr>
    </w:p>
    <w:p>
      <w:pPr>
        <w:jc w:val="both"/>
        <w:ind w:right="240" w:firstLine="270"/>
        <w:spacing w:after="0" w:line="259"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Form 10-K (in thousands, except per share amounts).</w:t>
      </w:r>
    </w:p>
    <w:p>
      <w:pPr>
        <w:spacing w:after="0" w:line="221"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On November 2, 2009, the Company adopted new accounting standards for noncontrolling interests as set forth in the Consolidation Topic No. 810 of the Accounting Standards Codification. These standards require companies to classify expenses related to noncontrolling interests' shares in income (loss) below net income (loss). Earnings per share continues to be determined after the impact of the noncontrolling interests' shares in net income (loss) of the Company. The presentation and disclosure requirements of these standards were retrospectively applied. The adoption of these standards resulted in the below reclassifications of noncontrolling interests (in the Balance Sheet Data presented) to equity.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Reclassification</w:t>
            </w:r>
          </w:p>
        </w:tc>
      </w:tr>
      <w:tr>
        <w:trPr>
          <w:trHeight w:val="25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422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Amount</w:t>
            </w:r>
          </w:p>
        </w:tc>
        <w:tc>
          <w:tcPr>
            <w:tcW w:w="2300" w:type="dxa"/>
            <w:vAlign w:val="bottom"/>
          </w:tcPr>
          <w:p>
            <w:pPr>
              <w:spacing w:after="0"/>
              <w:rPr>
                <w:sz w:val="21"/>
                <w:szCs w:val="21"/>
                <w:color w:val="auto"/>
              </w:rPr>
            </w:pPr>
          </w:p>
        </w:tc>
      </w:tr>
      <w:tr>
        <w:trPr>
          <w:trHeight w:val="243"/>
        </w:trPr>
        <w:tc>
          <w:tcPr>
            <w:tcW w:w="3480" w:type="dxa"/>
            <w:vAlign w:val="bottom"/>
            <w:shd w:val="clear" w:color="auto" w:fill="C0C0C0"/>
          </w:tcPr>
          <w:p>
            <w:pPr>
              <w:spacing w:after="0"/>
              <w:rPr>
                <w:sz w:val="20"/>
                <w:szCs w:val="20"/>
                <w:color w:val="auto"/>
              </w:rPr>
            </w:pPr>
            <w:r>
              <w:rPr>
                <w:rFonts w:ascii="Arial" w:cs="Arial" w:eastAsia="Arial" w:hAnsi="Arial"/>
                <w:sz w:val="18"/>
                <w:szCs w:val="18"/>
                <w:color w:val="auto"/>
              </w:rPr>
              <w:t>November 1, 2009</w:t>
            </w:r>
          </w:p>
        </w:tc>
        <w:tc>
          <w:tcPr>
            <w:tcW w:w="4680" w:type="dxa"/>
            <w:vAlign w:val="bottom"/>
            <w:gridSpan w:val="3"/>
            <w:shd w:val="clear" w:color="auto" w:fill="C0C0C0"/>
          </w:tcPr>
          <w:p>
            <w:pPr>
              <w:ind w:left="45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49,941</w:t>
            </w:r>
          </w:p>
        </w:tc>
        <w:tc>
          <w:tcPr>
            <w:tcW w:w="2300" w:type="dxa"/>
            <w:vAlign w:val="bottom"/>
          </w:tcPr>
          <w:p>
            <w:pPr>
              <w:spacing w:after="0"/>
              <w:rPr>
                <w:sz w:val="21"/>
                <w:szCs w:val="21"/>
                <w:color w:val="auto"/>
              </w:rPr>
            </w:pPr>
          </w:p>
        </w:tc>
      </w:t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November 2, 2008</w:t>
            </w: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gridSpan w:val="2"/>
          </w:tcPr>
          <w:p>
            <w:pPr>
              <w:jc w:val="right"/>
              <w:ind w:right="2300"/>
              <w:spacing w:after="0"/>
              <w:rPr>
                <w:sz w:val="20"/>
                <w:szCs w:val="20"/>
                <w:color w:val="auto"/>
              </w:rPr>
            </w:pPr>
            <w:r>
              <w:rPr>
                <w:rFonts w:ascii="Arial" w:cs="Arial" w:eastAsia="Arial" w:hAnsi="Arial"/>
                <w:sz w:val="18"/>
                <w:szCs w:val="18"/>
                <w:color w:val="auto"/>
              </w:rPr>
              <w:t>49,616</w:t>
            </w:r>
          </w:p>
        </w:tc>
      </w:tr>
      <w:tr>
        <w:trPr>
          <w:trHeight w:val="251"/>
        </w:trPr>
        <w:tc>
          <w:tcPr>
            <w:tcW w:w="3480" w:type="dxa"/>
            <w:vAlign w:val="bottom"/>
            <w:shd w:val="clear" w:color="auto" w:fill="C0C0C0"/>
          </w:tcPr>
          <w:p>
            <w:pPr>
              <w:spacing w:after="0"/>
              <w:rPr>
                <w:sz w:val="20"/>
                <w:szCs w:val="20"/>
                <w:color w:val="auto"/>
              </w:rPr>
            </w:pPr>
            <w:r>
              <w:rPr>
                <w:rFonts w:ascii="Arial" w:cs="Arial" w:eastAsia="Arial" w:hAnsi="Arial"/>
                <w:sz w:val="18"/>
                <w:szCs w:val="18"/>
                <w:color w:val="auto"/>
              </w:rPr>
              <w:t>October 28, 2007</w:t>
            </w:r>
          </w:p>
        </w:tc>
        <w:tc>
          <w:tcPr>
            <w:tcW w:w="4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49,465</w:t>
            </w:r>
          </w:p>
        </w:tc>
        <w:tc>
          <w:tcPr>
            <w:tcW w:w="2300" w:type="dxa"/>
            <w:vAlign w:val="bottom"/>
          </w:tcPr>
          <w:p>
            <w:pPr>
              <w:spacing w:after="0"/>
              <w:rPr>
                <w:sz w:val="21"/>
                <w:szCs w:val="21"/>
                <w:color w:val="auto"/>
              </w:rPr>
            </w:pPr>
          </w:p>
        </w:tc>
      </w:tr>
      <w:tr>
        <w:trPr>
          <w:trHeight w:val="228"/>
        </w:trPr>
        <w:tc>
          <w:tcPr>
            <w:tcW w:w="3480" w:type="dxa"/>
            <w:vAlign w:val="bottom"/>
          </w:tcPr>
          <w:p>
            <w:pPr>
              <w:spacing w:after="0"/>
              <w:rPr>
                <w:sz w:val="20"/>
                <w:szCs w:val="20"/>
                <w:color w:val="auto"/>
              </w:rPr>
            </w:pPr>
            <w:r>
              <w:rPr>
                <w:rFonts w:ascii="Arial" w:cs="Arial" w:eastAsia="Arial" w:hAnsi="Arial"/>
                <w:sz w:val="18"/>
                <w:szCs w:val="18"/>
                <w:color w:val="auto"/>
              </w:rPr>
              <w:t>October 29, 2006</w:t>
            </w:r>
          </w:p>
        </w:tc>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2"/>
          </w:tcPr>
          <w:p>
            <w:pPr>
              <w:jc w:val="right"/>
              <w:ind w:right="2300"/>
              <w:spacing w:after="0"/>
              <w:rPr>
                <w:sz w:val="20"/>
                <w:szCs w:val="20"/>
                <w:color w:val="auto"/>
              </w:rPr>
            </w:pPr>
            <w:r>
              <w:rPr>
                <w:rFonts w:ascii="Arial" w:cs="Arial" w:eastAsia="Arial" w:hAnsi="Arial"/>
                <w:sz w:val="18"/>
                <w:szCs w:val="18"/>
                <w:color w:val="auto"/>
              </w:rPr>
              <w:t>45,997</w:t>
            </w:r>
          </w:p>
        </w:tc>
      </w:tr>
      <w:tr>
        <w:trPr>
          <w:trHeight w:val="446"/>
        </w:trPr>
        <w:tc>
          <w:tcPr>
            <w:tcW w:w="3480" w:type="dxa"/>
            <w:vAlign w:val="bottom"/>
          </w:tcPr>
          <w:p>
            <w:pPr>
              <w:spacing w:after="0"/>
              <w:rPr>
                <w:sz w:val="24"/>
                <w:szCs w:val="24"/>
                <w:color w:val="auto"/>
              </w:rPr>
            </w:pPr>
          </w:p>
        </w:tc>
        <w:tc>
          <w:tcPr>
            <w:tcW w:w="4220" w:type="dxa"/>
            <w:vAlign w:val="bottom"/>
          </w:tcPr>
          <w:p>
            <w:pPr>
              <w:jc w:val="right"/>
              <w:ind w:right="181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3"/>
        </w:trPr>
        <w:tc>
          <w:tcPr>
            <w:tcW w:w="34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October 31,</w:t>
            </w:r>
          </w:p>
        </w:tc>
        <w:tc>
          <w:tcPr>
            <w:tcW w:w="4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November 1,</w:t>
            </w:r>
          </w:p>
        </w:tc>
        <w:tc>
          <w:tcPr>
            <w:tcW w:w="60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November 2,</w:t>
            </w:r>
          </w:p>
        </w:tc>
        <w:tc>
          <w:tcPr>
            <w:tcW w:w="60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28,</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October 29,</w:t>
            </w:r>
          </w:p>
        </w:tc>
        <w:tc>
          <w:tcPr>
            <w:tcW w:w="160" w:type="dxa"/>
            <w:vAlign w:val="bottom"/>
          </w:tcPr>
          <w:p>
            <w:pPr>
              <w:spacing w:after="0"/>
              <w:rPr>
                <w:sz w:val="17"/>
                <w:szCs w:val="17"/>
                <w:color w:val="auto"/>
              </w:rPr>
            </w:pPr>
          </w:p>
        </w:tc>
      </w:tr>
      <w:tr>
        <w:trPr>
          <w:trHeight w:val="243"/>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1"/>
                <w:szCs w:val="21"/>
                <w:color w:val="auto"/>
              </w:rPr>
            </w:pPr>
          </w:p>
        </w:tc>
      </w:tr>
      <w:tr>
        <w:trPr>
          <w:trHeight w:val="41"/>
        </w:trPr>
        <w:tc>
          <w:tcPr>
            <w:tcW w:w="52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r>
      <w:tr>
        <w:trPr>
          <w:trHeight w:val="217"/>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OPERATING DATA:</w:t>
            </w:r>
          </w:p>
        </w:tc>
        <w:tc>
          <w:tcPr>
            <w:tcW w:w="2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r>
      <w:tr>
        <w:trPr>
          <w:trHeight w:val="243"/>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Net sales</w:t>
            </w:r>
          </w:p>
        </w:tc>
        <w:tc>
          <w:tcPr>
            <w:tcW w:w="4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425,554</w:t>
            </w:r>
          </w:p>
        </w:tc>
        <w:tc>
          <w:tcPr>
            <w:tcW w:w="560" w:type="dxa"/>
            <w:vAlign w:val="bottom"/>
            <w:tcBorders>
              <w:bottom w:val="single" w:sz="8" w:color="C0C0C0"/>
            </w:tcBorders>
            <w:gridSpan w:val="2"/>
            <w:shd w:val="clear" w:color="auto" w:fill="C0C0C0"/>
          </w:tcPr>
          <w:p>
            <w:pPr>
              <w:ind w:left="4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361,353</w:t>
            </w:r>
          </w:p>
        </w:tc>
        <w:tc>
          <w:tcPr>
            <w:tcW w:w="740" w:type="dxa"/>
            <w:vAlign w:val="bottom"/>
            <w:tcBorders>
              <w:bottom w:val="single" w:sz="8" w:color="C0C0C0"/>
            </w:tcBorders>
            <w:gridSpan w:val="2"/>
            <w:shd w:val="clear" w:color="auto" w:fill="C0C0C0"/>
          </w:tcPr>
          <w:p>
            <w:pPr>
              <w:ind w:left="6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422,548</w:t>
            </w:r>
          </w:p>
        </w:tc>
        <w:tc>
          <w:tcPr>
            <w:tcW w:w="740" w:type="dxa"/>
            <w:vAlign w:val="bottom"/>
            <w:tcBorders>
              <w:bottom w:val="single" w:sz="8" w:color="C0C0C0"/>
            </w:tcBorders>
            <w:gridSpan w:val="2"/>
            <w:shd w:val="clear" w:color="auto" w:fill="C0C0C0"/>
          </w:tcPr>
          <w:p>
            <w:pPr>
              <w:ind w:left="6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421,479</w:t>
            </w: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jc w:val="right"/>
              <w:ind w:right="2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454,875</w:t>
            </w:r>
          </w:p>
        </w:tc>
        <w:tc>
          <w:tcPr>
            <w:tcW w:w="160" w:type="dxa"/>
            <w:vAlign w:val="bottom"/>
            <w:tcBorders>
              <w:bottom w:val="single" w:sz="8" w:color="C0C0C0"/>
            </w:tcBorders>
            <w:shd w:val="clear" w:color="auto" w:fill="C0C0C0"/>
          </w:tcPr>
          <w:p>
            <w:pPr>
              <w:spacing w:after="0"/>
              <w:rPr>
                <w:sz w:val="19"/>
                <w:szCs w:val="19"/>
                <w:color w:val="auto"/>
              </w:rPr>
            </w:pPr>
          </w:p>
        </w:tc>
      </w:tr>
      <w:tr>
        <w:trPr>
          <w:trHeight w:val="243"/>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Cost and expenses:</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r>
      <w:tr>
        <w:trPr>
          <w:trHeight w:val="202"/>
        </w:trPr>
        <w:tc>
          <w:tcPr>
            <w:tcW w:w="5200" w:type="dxa"/>
            <w:vAlign w:val="bottom"/>
          </w:tcPr>
          <w:p>
            <w:pPr>
              <w:ind w:left="240"/>
              <w:spacing w:after="0"/>
              <w:rPr>
                <w:sz w:val="20"/>
                <w:szCs w:val="20"/>
                <w:color w:val="auto"/>
              </w:rPr>
            </w:pPr>
            <w:r>
              <w:rPr>
                <w:rFonts w:ascii="Arial" w:cs="Arial" w:eastAsia="Arial" w:hAnsi="Arial"/>
                <w:sz w:val="14"/>
                <w:szCs w:val="14"/>
                <w:color w:val="auto"/>
              </w:rPr>
              <w:t>Cost of sales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(333,739)</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(304,282)</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(349,841)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(321,958)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(307,851)</w:t>
            </w:r>
          </w:p>
        </w:tc>
        <w:tc>
          <w:tcPr>
            <w:tcW w:w="160" w:type="dxa"/>
            <w:vAlign w:val="bottom"/>
          </w:tcPr>
          <w:p>
            <w:pPr>
              <w:spacing w:after="0"/>
              <w:rPr>
                <w:sz w:val="17"/>
                <w:szCs w:val="17"/>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23"/>
        </w:trPr>
        <w:tc>
          <w:tcPr>
            <w:tcW w:w="52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(42,387)</w:t>
            </w: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(41,162)</w:t>
            </w: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(55,167)</w:t>
            </w: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(61,507)</w:t>
            </w: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(62,215)</w:t>
            </w:r>
          </w:p>
        </w:tc>
        <w:tc>
          <w:tcPr>
            <w:tcW w:w="160" w:type="dxa"/>
            <w:vAlign w:val="bottom"/>
            <w:tcBorders>
              <w:bottom w:val="single" w:sz="8" w:color="C0C0C0"/>
            </w:tcBorders>
            <w:shd w:val="clear" w:color="auto" w:fill="C0C0C0"/>
          </w:tcPr>
          <w:p>
            <w:pPr>
              <w:spacing w:after="0"/>
              <w:rPr>
                <w:sz w:val="19"/>
                <w:szCs w:val="19"/>
                <w:color w:val="auto"/>
              </w:rPr>
            </w:pPr>
          </w:p>
        </w:tc>
      </w:tr>
      <w:tr>
        <w:trPr>
          <w:trHeight w:val="202"/>
        </w:trPr>
        <w:tc>
          <w:tcPr>
            <w:tcW w:w="520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(14,932)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(15,423)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(17,475)</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(27,337)</w:t>
            </w:r>
          </w:p>
        </w:tc>
        <w:tc>
          <w:tcPr>
            <w:tcW w:w="160" w:type="dxa"/>
            <w:vAlign w:val="bottom"/>
          </w:tcPr>
          <w:p>
            <w:pPr>
              <w:spacing w:after="0"/>
              <w:rPr>
                <w:sz w:val="17"/>
                <w:szCs w:val="17"/>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200" w:type="dxa"/>
            <w:vAlign w:val="bottom"/>
            <w:shd w:val="clear" w:color="auto" w:fill="C0C0C0"/>
          </w:tcPr>
          <w:p>
            <w:pPr>
              <w:ind w:left="240"/>
              <w:spacing w:after="0"/>
              <w:rPr>
                <w:sz w:val="20"/>
                <w:szCs w:val="20"/>
                <w:color w:val="auto"/>
              </w:rPr>
            </w:pPr>
            <w:r>
              <w:rPr>
                <w:rFonts w:ascii="Arial" w:cs="Arial" w:eastAsia="Arial" w:hAnsi="Arial"/>
                <w:sz w:val="14"/>
                <w:szCs w:val="14"/>
                <w:color w:val="auto"/>
              </w:rPr>
              <w:t>Consolidation, restructuring and</w:t>
            </w: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r>
      <w:tr>
        <w:trPr>
          <w:trHeight w:val="264"/>
        </w:trPr>
        <w:tc>
          <w:tcPr>
            <w:tcW w:w="52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related credits (charges)</w:t>
            </w:r>
          </w:p>
        </w:tc>
        <w:tc>
          <w:tcPr>
            <w:tcW w:w="2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4,979</w:t>
            </w:r>
          </w:p>
        </w:tc>
        <w:tc>
          <w:tcPr>
            <w:tcW w:w="56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(a)</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(13,557)</w:t>
            </w:r>
          </w:p>
        </w:tc>
        <w:tc>
          <w:tcPr>
            <w:tcW w:w="74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(c)</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(510)</w:t>
            </w:r>
          </w:p>
        </w:tc>
        <w:tc>
          <w:tcPr>
            <w:tcW w:w="74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(f)</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(15,639)</w:t>
            </w:r>
          </w:p>
        </w:tc>
        <w:tc>
          <w:tcPr>
            <w:tcW w:w="16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4"/>
                <w:szCs w:val="14"/>
                <w:color w:val="auto"/>
                <w:w w:val="80"/>
              </w:rPr>
              <w:t>(i)</w:t>
            </w:r>
          </w:p>
        </w:tc>
      </w:tr>
      <w:tr>
        <w:trPr>
          <w:trHeight w:val="202"/>
        </w:trPr>
        <w:tc>
          <w:tcPr>
            <w:tcW w:w="5200" w:type="dxa"/>
            <w:vAlign w:val="bottom"/>
          </w:tcPr>
          <w:p>
            <w:pPr>
              <w:ind w:left="240"/>
              <w:spacing w:after="0"/>
              <w:rPr>
                <w:sz w:val="20"/>
                <w:szCs w:val="20"/>
                <w:color w:val="auto"/>
              </w:rPr>
            </w:pPr>
            <w:r>
              <w:rPr>
                <w:rFonts w:ascii="Arial" w:cs="Arial" w:eastAsia="Arial" w:hAnsi="Arial"/>
                <w:sz w:val="14"/>
                <w:szCs w:val="14"/>
                <w:color w:val="auto"/>
              </w:rPr>
              <w:t>Impairment of long-lived assets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(1,458)</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(d)</w:t>
            </w:r>
          </w:p>
        </w:tc>
        <w:tc>
          <w:tcPr>
            <w:tcW w:w="640" w:type="dxa"/>
            <w:vAlign w:val="bottom"/>
          </w:tcPr>
          <w:p>
            <w:pPr>
              <w:jc w:val="right"/>
              <w:spacing w:after="0"/>
              <w:rPr>
                <w:sz w:val="20"/>
                <w:szCs w:val="20"/>
                <w:color w:val="auto"/>
              </w:rPr>
            </w:pPr>
            <w:r>
              <w:rPr>
                <w:rFonts w:ascii="Arial" w:cs="Arial" w:eastAsia="Arial" w:hAnsi="Arial"/>
                <w:sz w:val="14"/>
                <w:szCs w:val="14"/>
                <w:color w:val="auto"/>
              </w:rPr>
              <w:t>(66,874)</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(g)</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23"/>
        </w:trPr>
        <w:tc>
          <w:tcPr>
            <w:tcW w:w="52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Impairment of goodwill</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6"/>
              </w:rPr>
              <w:t>(138,534)</w:t>
            </w:r>
          </w:p>
        </w:tc>
        <w:tc>
          <w:tcPr>
            <w:tcW w:w="74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(h)</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r>
      <w:tr>
        <w:trPr>
          <w:trHeight w:val="202"/>
        </w:trPr>
        <w:tc>
          <w:tcPr>
            <w:tcW w:w="5200" w:type="dxa"/>
            <w:vAlign w:val="bottom"/>
          </w:tcPr>
          <w:p>
            <w:pPr>
              <w:spacing w:after="0"/>
              <w:rPr>
                <w:sz w:val="20"/>
                <w:szCs w:val="20"/>
                <w:color w:val="auto"/>
              </w:rPr>
            </w:pPr>
            <w:r>
              <w:rPr>
                <w:rFonts w:ascii="Arial" w:cs="Arial" w:eastAsia="Arial" w:hAnsi="Arial"/>
                <w:sz w:val="14"/>
                <w:szCs w:val="14"/>
                <w:color w:val="auto"/>
              </w:rPr>
              <w:t>Gain on sales of facilities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2,034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2,254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r>
      <w:tr>
        <w:trPr>
          <w:trHeight w:val="41"/>
        </w:trPr>
        <w:tc>
          <w:tcPr>
            <w:tcW w:w="52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r>
      <w:tr>
        <w:trPr>
          <w:trHeight w:val="217"/>
        </w:trPr>
        <w:tc>
          <w:tcPr>
            <w:tcW w:w="52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39,475</w:t>
            </w:r>
          </w:p>
        </w:tc>
        <w:tc>
          <w:tcPr>
            <w:tcW w:w="4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(12,495)</w:t>
            </w: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6"/>
              </w:rPr>
              <w:t>(205,853)</w:t>
            </w: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22,968</w:t>
            </w:r>
          </w:p>
        </w:tc>
        <w:tc>
          <w:tcPr>
            <w:tcW w:w="2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41,833</w:t>
            </w:r>
          </w:p>
        </w:tc>
        <w:tc>
          <w:tcPr>
            <w:tcW w:w="160" w:type="dxa"/>
            <w:vAlign w:val="bottom"/>
            <w:tcBorders>
              <w:bottom w:val="single" w:sz="8" w:color="C0C0C0"/>
            </w:tcBorders>
            <w:shd w:val="clear" w:color="auto" w:fill="C0C0C0"/>
          </w:tcPr>
          <w:p>
            <w:pPr>
              <w:spacing w:after="0"/>
              <w:rPr>
                <w:sz w:val="18"/>
                <w:szCs w:val="18"/>
                <w:color w:val="auto"/>
              </w:rPr>
            </w:pPr>
          </w:p>
        </w:tc>
      </w:tr>
      <w:tr>
        <w:trPr>
          <w:trHeight w:val="243"/>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r>
      <w:tr>
        <w:trPr>
          <w:trHeight w:val="202"/>
        </w:trPr>
        <w:tc>
          <w:tcPr>
            <w:tcW w:w="52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(9,475)</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(22,401)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(11,878)</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(5,928)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(11,916)</w:t>
            </w:r>
          </w:p>
        </w:tc>
        <w:tc>
          <w:tcPr>
            <w:tcW w:w="160" w:type="dxa"/>
            <w:vAlign w:val="bottom"/>
          </w:tcPr>
          <w:p>
            <w:pPr>
              <w:spacing w:after="0"/>
              <w:rPr>
                <w:sz w:val="17"/>
                <w:szCs w:val="17"/>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200" w:type="dxa"/>
            <w:vAlign w:val="bottom"/>
            <w:shd w:val="clear" w:color="auto" w:fill="C0C0C0"/>
          </w:tcPr>
          <w:p>
            <w:pPr>
              <w:ind w:left="240"/>
              <w:spacing w:after="0"/>
              <w:rPr>
                <w:sz w:val="20"/>
                <w:szCs w:val="20"/>
                <w:color w:val="auto"/>
              </w:rPr>
            </w:pPr>
            <w:r>
              <w:rPr>
                <w:rFonts w:ascii="Arial" w:cs="Arial" w:eastAsia="Arial" w:hAnsi="Arial"/>
                <w:sz w:val="14"/>
                <w:szCs w:val="14"/>
                <w:color w:val="auto"/>
              </w:rPr>
              <w:t>Investment and other income</w:t>
            </w: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r>
      <w:tr>
        <w:trPr>
          <w:trHeight w:val="284"/>
        </w:trPr>
        <w:tc>
          <w:tcPr>
            <w:tcW w:w="52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(expense), net</w:t>
            </w:r>
          </w:p>
        </w:tc>
        <w:tc>
          <w:tcPr>
            <w:tcW w:w="2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2,553</w:t>
            </w:r>
          </w:p>
        </w:tc>
        <w:tc>
          <w:tcPr>
            <w:tcW w:w="56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(b)</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(2,208)</w:t>
            </w:r>
          </w:p>
        </w:tc>
        <w:tc>
          <w:tcPr>
            <w:tcW w:w="74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(e)</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5,562</w:t>
            </w:r>
          </w:p>
        </w:tc>
        <w:tc>
          <w:tcPr>
            <w:tcW w:w="60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6,844</w:t>
            </w:r>
          </w:p>
        </w:tc>
        <w:tc>
          <w:tcPr>
            <w:tcW w:w="2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15,469</w:t>
            </w:r>
          </w:p>
        </w:tc>
        <w:tc>
          <w:tcPr>
            <w:tcW w:w="160" w:type="dxa"/>
            <w:vAlign w:val="bottom"/>
            <w:tcBorders>
              <w:bottom w:val="single" w:sz="8" w:color="C0C0C0"/>
            </w:tcBorders>
            <w:shd w:val="clear" w:color="auto" w:fill="C0C0C0"/>
          </w:tcPr>
          <w:p>
            <w:pPr>
              <w:spacing w:after="0"/>
              <w:rPr>
                <w:sz w:val="24"/>
                <w:szCs w:val="24"/>
                <w:color w:val="auto"/>
              </w:rPr>
            </w:pPr>
          </w:p>
        </w:tc>
      </w:tr>
      <w:tr>
        <w:trPr>
          <w:trHeight w:val="196"/>
        </w:trPr>
        <w:tc>
          <w:tcPr>
            <w:tcW w:w="5200" w:type="dxa"/>
            <w:vAlign w:val="bottom"/>
          </w:tcPr>
          <w:p>
            <w:pPr>
              <w:ind w:left="240"/>
              <w:spacing w:after="0"/>
              <w:rPr>
                <w:sz w:val="20"/>
                <w:szCs w:val="20"/>
                <w:color w:val="auto"/>
              </w:rPr>
            </w:pPr>
            <w:r>
              <w:rPr>
                <w:rFonts w:ascii="Arial" w:cs="Arial" w:eastAsia="Arial" w:hAnsi="Arial"/>
                <w:sz w:val="14"/>
                <w:szCs w:val="14"/>
                <w:color w:val="auto"/>
              </w:rPr>
              <w:t>Income (loss) before income tax</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5200" w:type="dxa"/>
            <w:vAlign w:val="bottom"/>
          </w:tcPr>
          <w:p>
            <w:pPr>
              <w:ind w:left="480"/>
              <w:spacing w:after="0"/>
              <w:rPr>
                <w:sz w:val="20"/>
                <w:szCs w:val="20"/>
                <w:color w:val="auto"/>
              </w:rPr>
            </w:pPr>
            <w:r>
              <w:rPr>
                <w:rFonts w:ascii="Arial" w:cs="Arial" w:eastAsia="Arial" w:hAnsi="Arial"/>
                <w:sz w:val="14"/>
                <w:szCs w:val="14"/>
                <w:color w:val="auto"/>
              </w:rPr>
              <w:t>(provision) benefit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32,553</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(37,104)</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(212,169)</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23,884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45,386</w:t>
            </w:r>
          </w:p>
        </w:tc>
        <w:tc>
          <w:tcPr>
            <w:tcW w:w="16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52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Income tax (provision) benefit</w:t>
            </w:r>
          </w:p>
        </w:tc>
        <w:tc>
          <w:tcPr>
            <w:tcW w:w="2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(7,471)</w:t>
            </w:r>
          </w:p>
        </w:tc>
        <w:tc>
          <w:tcPr>
            <w:tcW w:w="42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(4,323)</w:t>
            </w:r>
          </w:p>
        </w:tc>
        <w:tc>
          <w:tcPr>
            <w:tcW w:w="6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2,778</w:t>
            </w:r>
          </w:p>
        </w:tc>
        <w:tc>
          <w:tcPr>
            <w:tcW w:w="6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3,178</w:t>
            </w:r>
          </w:p>
        </w:tc>
        <w:tc>
          <w:tcPr>
            <w:tcW w:w="2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(10,462)</w:t>
            </w:r>
          </w:p>
        </w:tc>
        <w:tc>
          <w:tcPr>
            <w:tcW w:w="160" w:type="dxa"/>
            <w:vAlign w:val="bottom"/>
            <w:tcBorders>
              <w:bottom w:val="single" w:sz="8" w:color="C0C0C0"/>
            </w:tcBorders>
            <w:shd w:val="clear" w:color="auto" w:fill="C0C0C0"/>
          </w:tcPr>
          <w:p>
            <w:pPr>
              <w:spacing w:after="0"/>
              <w:rPr>
                <w:sz w:val="21"/>
                <w:szCs w:val="21"/>
                <w:color w:val="auto"/>
              </w:rPr>
            </w:pPr>
          </w:p>
        </w:tc>
      </w:tr>
      <w:tr>
        <w:trPr>
          <w:trHeight w:val="196"/>
        </w:trPr>
        <w:tc>
          <w:tcPr>
            <w:tcW w:w="520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25,082</w:t>
            </w:r>
          </w:p>
        </w:tc>
        <w:tc>
          <w:tcPr>
            <w:tcW w:w="420" w:type="dxa"/>
            <w:vAlign w:val="bottom"/>
          </w:tcPr>
          <w:p>
            <w:pPr>
              <w:ind w:left="40"/>
              <w:spacing w:after="0"/>
              <w:rPr>
                <w:sz w:val="20"/>
                <w:szCs w:val="20"/>
                <w:color w:val="auto"/>
              </w:rPr>
            </w:pPr>
            <w:r>
              <w:rPr>
                <w:rFonts w:ascii="Arial" w:cs="Arial" w:eastAsia="Arial" w:hAnsi="Arial"/>
                <w:sz w:val="14"/>
                <w:szCs w:val="14"/>
                <w:color w:val="auto"/>
                <w:w w:val="94"/>
              </w:rPr>
              <w:t>(a) (b)</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(41,427)</w:t>
            </w:r>
          </w:p>
        </w:tc>
        <w:tc>
          <w:tcPr>
            <w:tcW w:w="600" w:type="dxa"/>
            <w:vAlign w:val="bottom"/>
          </w:tcPr>
          <w:p>
            <w:pPr>
              <w:ind w:left="40"/>
              <w:spacing w:after="0"/>
              <w:rPr>
                <w:sz w:val="20"/>
                <w:szCs w:val="20"/>
                <w:color w:val="auto"/>
              </w:rPr>
            </w:pPr>
            <w:r>
              <w:rPr>
                <w:rFonts w:ascii="Arial" w:cs="Arial" w:eastAsia="Arial" w:hAnsi="Arial"/>
                <w:sz w:val="14"/>
                <w:szCs w:val="14"/>
                <w:color w:val="auto"/>
                <w:w w:val="92"/>
              </w:rPr>
              <w:t>(c) (d) (e)</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(209,391)</w:t>
            </w:r>
          </w:p>
        </w:tc>
        <w:tc>
          <w:tcPr>
            <w:tcW w:w="600" w:type="dxa"/>
            <w:vAlign w:val="bottom"/>
          </w:tcPr>
          <w:p>
            <w:pPr>
              <w:ind w:left="40"/>
              <w:spacing w:after="0"/>
              <w:rPr>
                <w:sz w:val="20"/>
                <w:szCs w:val="20"/>
                <w:color w:val="auto"/>
              </w:rPr>
            </w:pPr>
            <w:r>
              <w:rPr>
                <w:rFonts w:ascii="Arial" w:cs="Arial" w:eastAsia="Arial" w:hAnsi="Arial"/>
                <w:sz w:val="14"/>
                <w:szCs w:val="14"/>
                <w:color w:val="auto"/>
                <w:w w:val="97"/>
              </w:rPr>
              <w:t>(f) (g) (h)</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27,062</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34,924</w:t>
            </w:r>
          </w:p>
        </w:tc>
        <w:tc>
          <w:tcPr>
            <w:tcW w:w="160" w:type="dxa"/>
            <w:vAlign w:val="bottom"/>
          </w:tcPr>
          <w:p>
            <w:pPr>
              <w:ind w:left="40"/>
              <w:spacing w:after="0"/>
              <w:rPr>
                <w:sz w:val="20"/>
                <w:szCs w:val="20"/>
                <w:color w:val="auto"/>
              </w:rPr>
            </w:pPr>
            <w:r>
              <w:rPr>
                <w:rFonts w:ascii="Arial" w:cs="Arial" w:eastAsia="Arial" w:hAnsi="Arial"/>
                <w:sz w:val="14"/>
                <w:szCs w:val="14"/>
                <w:color w:val="auto"/>
                <w:w w:val="80"/>
              </w:rPr>
              <w:t>(i)</w:t>
            </w: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200" w:type="dxa"/>
            <w:vAlign w:val="bottom"/>
            <w:shd w:val="clear" w:color="auto" w:fill="C0C0C0"/>
          </w:tcPr>
          <w:p>
            <w:pPr>
              <w:ind w:left="240"/>
              <w:spacing w:after="0"/>
              <w:rPr>
                <w:sz w:val="20"/>
                <w:szCs w:val="20"/>
                <w:color w:val="auto"/>
              </w:rPr>
            </w:pPr>
            <w:r>
              <w:rPr>
                <w:rFonts w:ascii="Arial" w:cs="Arial" w:eastAsia="Arial" w:hAnsi="Arial"/>
                <w:sz w:val="14"/>
                <w:szCs w:val="14"/>
                <w:color w:val="auto"/>
              </w:rPr>
              <w:t>Net income attributable to</w:t>
            </w: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r>
      <w:tr>
        <w:trPr>
          <w:trHeight w:val="284"/>
        </w:trPr>
        <w:tc>
          <w:tcPr>
            <w:tcW w:w="52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(1,160)</w:t>
            </w:r>
          </w:p>
        </w:tc>
        <w:tc>
          <w:tcPr>
            <w:tcW w:w="4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(483)</w:t>
            </w:r>
          </w:p>
        </w:tc>
        <w:tc>
          <w:tcPr>
            <w:tcW w:w="60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(1,374)</w:t>
            </w:r>
          </w:p>
        </w:tc>
        <w:tc>
          <w:tcPr>
            <w:tcW w:w="60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(2,539)</w:t>
            </w:r>
          </w:p>
        </w:tc>
        <w:tc>
          <w:tcPr>
            <w:tcW w:w="2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(5,592)</w:t>
            </w:r>
          </w:p>
        </w:tc>
        <w:tc>
          <w:tcPr>
            <w:tcW w:w="160" w:type="dxa"/>
            <w:vAlign w:val="bottom"/>
            <w:tcBorders>
              <w:bottom w:val="single" w:sz="8" w:color="C0C0C0"/>
            </w:tcBorders>
            <w:shd w:val="clear" w:color="auto" w:fill="C0C0C0"/>
          </w:tcPr>
          <w:p>
            <w:pPr>
              <w:spacing w:after="0"/>
              <w:rPr>
                <w:sz w:val="24"/>
                <w:szCs w:val="24"/>
                <w:color w:val="auto"/>
              </w:rPr>
            </w:pPr>
          </w:p>
        </w:tc>
      </w:tr>
      <w:tr>
        <w:trPr>
          <w:trHeight w:val="196"/>
        </w:trPr>
        <w:tc>
          <w:tcPr>
            <w:tcW w:w="5200" w:type="dxa"/>
            <w:vAlign w:val="bottom"/>
          </w:tcPr>
          <w:p>
            <w:pPr>
              <w:ind w:left="240"/>
              <w:spacing w:after="0"/>
              <w:rPr>
                <w:sz w:val="20"/>
                <w:szCs w:val="20"/>
                <w:color w:val="auto"/>
              </w:rPr>
            </w:pPr>
            <w:r>
              <w:rPr>
                <w:rFonts w:ascii="Arial" w:cs="Arial" w:eastAsia="Arial" w:hAnsi="Arial"/>
                <w:sz w:val="14"/>
                <w:szCs w:val="14"/>
                <w:color w:val="auto"/>
              </w:rPr>
              <w:t>Net income (loss) attributable to</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57"/>
        </w:trPr>
        <w:tc>
          <w:tcPr>
            <w:tcW w:w="5200" w:type="dxa"/>
            <w:vAlign w:val="bottom"/>
          </w:tcPr>
          <w:p>
            <w:pPr>
              <w:ind w:left="480"/>
              <w:spacing w:after="0"/>
              <w:rPr>
                <w:sz w:val="20"/>
                <w:szCs w:val="20"/>
                <w:color w:val="auto"/>
              </w:rPr>
            </w:pPr>
            <w:r>
              <w:rPr>
                <w:rFonts w:ascii="Arial" w:cs="Arial" w:eastAsia="Arial" w:hAnsi="Arial"/>
                <w:sz w:val="14"/>
                <w:szCs w:val="14"/>
                <w:color w:val="auto"/>
              </w:rPr>
              <w:t>Photronics, Inc.</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23,922</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(a) (b) $</w:t>
            </w:r>
          </w:p>
        </w:tc>
        <w:tc>
          <w:tcPr>
            <w:tcW w:w="640" w:type="dxa"/>
            <w:vAlign w:val="bottom"/>
          </w:tcPr>
          <w:p>
            <w:pPr>
              <w:jc w:val="right"/>
              <w:spacing w:after="0"/>
              <w:rPr>
                <w:sz w:val="20"/>
                <w:szCs w:val="20"/>
                <w:color w:val="auto"/>
              </w:rPr>
            </w:pPr>
            <w:r>
              <w:rPr>
                <w:rFonts w:ascii="Arial" w:cs="Arial" w:eastAsia="Arial" w:hAnsi="Arial"/>
                <w:sz w:val="14"/>
                <w:szCs w:val="14"/>
                <w:color w:val="auto"/>
              </w:rPr>
              <w:t>(41,910)</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w w:val="97"/>
              </w:rPr>
              <w:t>(c) (d) (e) $</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(210,765)</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(f) (g) (h) $</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24,523</w:t>
            </w:r>
          </w:p>
        </w:tc>
        <w:tc>
          <w:tcPr>
            <w:tcW w:w="280" w:type="dxa"/>
            <w:vAlign w:val="bottom"/>
          </w:tcPr>
          <w:p>
            <w:pPr>
              <w:spacing w:after="0"/>
              <w:rPr>
                <w:sz w:val="22"/>
                <w:szCs w:val="22"/>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29,332</w:t>
            </w:r>
          </w:p>
        </w:tc>
        <w:tc>
          <w:tcPr>
            <w:tcW w:w="160" w:type="dxa"/>
            <w:vAlign w:val="bottom"/>
          </w:tcPr>
          <w:p>
            <w:pPr>
              <w:ind w:left="40"/>
              <w:spacing w:after="0"/>
              <w:rPr>
                <w:sz w:val="20"/>
                <w:szCs w:val="20"/>
                <w:color w:val="auto"/>
              </w:rPr>
            </w:pPr>
            <w:r>
              <w:rPr>
                <w:rFonts w:ascii="Arial" w:cs="Arial" w:eastAsia="Arial" w:hAnsi="Arial"/>
                <w:sz w:val="14"/>
                <w:szCs w:val="14"/>
                <w:color w:val="auto"/>
                <w:w w:val="80"/>
              </w:rPr>
              <w:t>(i)</w:t>
            </w:r>
          </w:p>
        </w:tc>
      </w:tr>
      <w:tr>
        <w:trPr>
          <w:trHeight w:val="35"/>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2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Earnings (loss) per share:</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r>
      <w:tr>
        <w:trPr>
          <w:trHeight w:val="216"/>
        </w:trPr>
        <w:tc>
          <w:tcPr>
            <w:tcW w:w="5200" w:type="dxa"/>
            <w:vAlign w:val="bottom"/>
          </w:tcPr>
          <w:p>
            <w:pPr>
              <w:ind w:left="480"/>
              <w:spacing w:after="0"/>
              <w:rPr>
                <w:sz w:val="20"/>
                <w:szCs w:val="20"/>
                <w:color w:val="auto"/>
              </w:rPr>
            </w:pPr>
            <w:r>
              <w:rPr>
                <w:rFonts w:ascii="Arial" w:cs="Arial" w:eastAsia="Arial" w:hAnsi="Arial"/>
                <w:sz w:val="14"/>
                <w:szCs w:val="14"/>
                <w:color w:val="auto"/>
              </w:rPr>
              <w:t>Basic</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0.45</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(a) (b) $</w:t>
            </w:r>
          </w:p>
        </w:tc>
        <w:tc>
          <w:tcPr>
            <w:tcW w:w="640" w:type="dxa"/>
            <w:vAlign w:val="bottom"/>
          </w:tcPr>
          <w:p>
            <w:pPr>
              <w:jc w:val="right"/>
              <w:spacing w:after="0"/>
              <w:rPr>
                <w:sz w:val="20"/>
                <w:szCs w:val="20"/>
                <w:color w:val="auto"/>
              </w:rPr>
            </w:pPr>
            <w:r>
              <w:rPr>
                <w:rFonts w:ascii="Arial" w:cs="Arial" w:eastAsia="Arial" w:hAnsi="Arial"/>
                <w:sz w:val="14"/>
                <w:szCs w:val="14"/>
                <w:color w:val="auto"/>
              </w:rPr>
              <w:t>(0.97)</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w w:val="97"/>
              </w:rPr>
              <w:t>(c) (d) (e) $</w:t>
            </w:r>
          </w:p>
        </w:tc>
        <w:tc>
          <w:tcPr>
            <w:tcW w:w="640" w:type="dxa"/>
            <w:vAlign w:val="bottom"/>
          </w:tcPr>
          <w:p>
            <w:pPr>
              <w:jc w:val="right"/>
              <w:spacing w:after="0"/>
              <w:rPr>
                <w:sz w:val="20"/>
                <w:szCs w:val="20"/>
                <w:color w:val="auto"/>
              </w:rPr>
            </w:pPr>
            <w:r>
              <w:rPr>
                <w:rFonts w:ascii="Arial" w:cs="Arial" w:eastAsia="Arial" w:hAnsi="Arial"/>
                <w:sz w:val="14"/>
                <w:szCs w:val="14"/>
                <w:color w:val="auto"/>
              </w:rPr>
              <w:t>(5.06)</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(f) (g) (h) $</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0.59</w:t>
            </w:r>
          </w:p>
        </w:tc>
        <w:tc>
          <w:tcPr>
            <w:tcW w:w="280" w:type="dxa"/>
            <w:vAlign w:val="bottom"/>
          </w:tcPr>
          <w:p>
            <w:pPr>
              <w:spacing w:after="0"/>
              <w:rPr>
                <w:sz w:val="18"/>
                <w:szCs w:val="18"/>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0.71</w:t>
            </w:r>
          </w:p>
        </w:tc>
        <w:tc>
          <w:tcPr>
            <w:tcW w:w="160" w:type="dxa"/>
            <w:vAlign w:val="bottom"/>
          </w:tcPr>
          <w:p>
            <w:pPr>
              <w:ind w:left="40"/>
              <w:spacing w:after="0"/>
              <w:rPr>
                <w:sz w:val="20"/>
                <w:szCs w:val="20"/>
                <w:color w:val="auto"/>
              </w:rPr>
            </w:pPr>
            <w:r>
              <w:rPr>
                <w:rFonts w:ascii="Arial" w:cs="Arial" w:eastAsia="Arial" w:hAnsi="Arial"/>
                <w:sz w:val="14"/>
                <w:szCs w:val="14"/>
                <w:color w:val="auto"/>
                <w:w w:val="80"/>
              </w:rPr>
              <w:t>(i)</w:t>
            </w:r>
          </w:p>
        </w:tc>
      </w:tr>
      <w:tr>
        <w:trPr>
          <w:trHeight w:val="35"/>
        </w:trPr>
        <w:tc>
          <w:tcPr>
            <w:tcW w:w="52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r>
      <w:tr>
        <w:trPr>
          <w:trHeight w:val="255"/>
        </w:trPr>
        <w:tc>
          <w:tcPr>
            <w:tcW w:w="52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Diluted</w:t>
            </w:r>
          </w:p>
        </w:tc>
        <w:tc>
          <w:tcPr>
            <w:tcW w:w="4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0.43</w:t>
            </w:r>
          </w:p>
        </w:tc>
        <w:tc>
          <w:tcPr>
            <w:tcW w:w="56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(a) (b) $</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(0.97)</w:t>
            </w:r>
          </w:p>
        </w:tc>
        <w:tc>
          <w:tcPr>
            <w:tcW w:w="74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w w:val="97"/>
              </w:rPr>
              <w:t>(c) (d) (e) $</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(5.06)</w:t>
            </w:r>
          </w:p>
        </w:tc>
        <w:tc>
          <w:tcPr>
            <w:tcW w:w="740" w:type="dxa"/>
            <w:vAlign w:val="bottom"/>
            <w:tcBorders>
              <w:bottom w:val="single" w:sz="8" w:color="C0C0C0"/>
            </w:tcBorders>
            <w:gridSpan w:val="2"/>
            <w:shd w:val="clear" w:color="auto" w:fill="C0C0C0"/>
          </w:tcPr>
          <w:p>
            <w:pPr>
              <w:ind w:left="40"/>
              <w:spacing w:after="0"/>
              <w:rPr>
                <w:sz w:val="20"/>
                <w:szCs w:val="20"/>
                <w:color w:val="auto"/>
              </w:rPr>
            </w:pPr>
            <w:r>
              <w:rPr>
                <w:rFonts w:ascii="Arial" w:cs="Arial" w:eastAsia="Arial" w:hAnsi="Arial"/>
                <w:sz w:val="14"/>
                <w:szCs w:val="14"/>
                <w:color w:val="auto"/>
              </w:rPr>
              <w:t>(f) (g) (h) $</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0.56</w:t>
            </w:r>
          </w:p>
        </w:tc>
        <w:tc>
          <w:tcPr>
            <w:tcW w:w="2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jc w:val="right"/>
              <w:ind w:right="2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0.66</w:t>
            </w:r>
          </w:p>
        </w:tc>
        <w:tc>
          <w:tcPr>
            <w:tcW w:w="16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4"/>
                <w:szCs w:val="14"/>
                <w:color w:val="auto"/>
                <w:w w:val="80"/>
              </w:rPr>
              <w:t>(i)</w:t>
            </w:r>
          </w:p>
        </w:tc>
      </w:tr>
      <w:tr>
        <w:trPr>
          <w:trHeight w:val="243"/>
        </w:trPr>
        <w:tc>
          <w:tcPr>
            <w:tcW w:w="520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r>
      <w:tr>
        <w:trPr>
          <w:trHeight w:val="202"/>
        </w:trPr>
        <w:tc>
          <w:tcPr>
            <w:tcW w:w="5200" w:type="dxa"/>
            <w:vAlign w:val="bottom"/>
            <w:shd w:val="clear" w:color="auto" w:fill="C0C0C0"/>
          </w:tcPr>
          <w:p>
            <w:pPr>
              <w:ind w:left="240"/>
              <w:spacing w:after="0"/>
              <w:rPr>
                <w:sz w:val="20"/>
                <w:szCs w:val="20"/>
                <w:color w:val="auto"/>
              </w:rPr>
            </w:pPr>
            <w:r>
              <w:rPr>
                <w:rFonts w:ascii="Arial" w:cs="Arial" w:eastAsia="Arial" w:hAnsi="Arial"/>
                <w:sz w:val="14"/>
                <w:szCs w:val="14"/>
                <w:color w:val="auto"/>
              </w:rPr>
              <w:t>Weighted-average number of</w:t>
            </w: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r>
      <w:tr>
        <w:trPr>
          <w:trHeight w:val="264"/>
        </w:trPr>
        <w:tc>
          <w:tcPr>
            <w:tcW w:w="52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common shares outstanding:</w:t>
            </w:r>
          </w:p>
        </w:tc>
        <w:tc>
          <w:tcPr>
            <w:tcW w:w="2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4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r>
      <w:tr>
        <w:trPr>
          <w:trHeight w:val="216"/>
        </w:trPr>
        <w:tc>
          <w:tcPr>
            <w:tcW w:w="5200" w:type="dxa"/>
            <w:vAlign w:val="bottom"/>
          </w:tcPr>
          <w:p>
            <w:pPr>
              <w:ind w:left="48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53,433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43,210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41,658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41,539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41,369</w:t>
            </w:r>
          </w:p>
        </w:tc>
        <w:tc>
          <w:tcPr>
            <w:tcW w:w="160" w:type="dxa"/>
            <w:vAlign w:val="bottom"/>
          </w:tcPr>
          <w:p>
            <w:pPr>
              <w:spacing w:after="0"/>
              <w:rPr>
                <w:sz w:val="18"/>
                <w:szCs w:val="18"/>
                <w:color w:val="auto"/>
              </w:rPr>
            </w:pPr>
          </w:p>
        </w:tc>
      </w:tr>
      <w:tr>
        <w:trPr>
          <w:trHeight w:val="35"/>
        </w:trPr>
        <w:tc>
          <w:tcPr>
            <w:tcW w:w="52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r>
      <w:tr>
        <w:trPr>
          <w:trHeight w:val="223"/>
        </w:trPr>
        <w:tc>
          <w:tcPr>
            <w:tcW w:w="52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65,803</w:t>
            </w:r>
          </w:p>
        </w:tc>
        <w:tc>
          <w:tcPr>
            <w:tcW w:w="4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43,210</w:t>
            </w: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41,658</w:t>
            </w: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51,282</w:t>
            </w: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51,072</w:t>
            </w:r>
          </w:p>
        </w:tc>
        <w:tc>
          <w:tcPr>
            <w:tcW w:w="160" w:type="dxa"/>
            <w:vAlign w:val="bottom"/>
            <w:tcBorders>
              <w:bottom w:val="single" w:sz="8" w:color="C0C0C0"/>
            </w:tcBorders>
            <w:shd w:val="clear" w:color="auto" w:fill="C0C0C0"/>
          </w:tcPr>
          <w:p>
            <w:pPr>
              <w:spacing w:after="0"/>
              <w:rPr>
                <w:sz w:val="19"/>
                <w:szCs w:val="19"/>
                <w:color w:val="auto"/>
              </w:rPr>
            </w:pPr>
          </w:p>
        </w:tc>
      </w:tr>
      <w:tr>
        <w:trPr>
          <w:trHeight w:val="27"/>
        </w:trPr>
        <w:tc>
          <w:tcPr>
            <w:tcW w:w="52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5"/>
        </w:trPr>
        <w:tc>
          <w:tcPr>
            <w:tcW w:w="4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8"/>
              </w:rPr>
              <w:t>October 31,</w:t>
            </w:r>
          </w:p>
        </w:tc>
        <w:tc>
          <w:tcPr>
            <w:tcW w:w="1360" w:type="dxa"/>
            <w:vAlign w:val="bottom"/>
            <w:gridSpan w:val="4"/>
          </w:tcPr>
          <w:p>
            <w:pPr>
              <w:ind w:left="140"/>
              <w:spacing w:after="0"/>
              <w:rPr>
                <w:sz w:val="20"/>
                <w:szCs w:val="20"/>
                <w:color w:val="auto"/>
              </w:rPr>
            </w:pPr>
            <w:r>
              <w:rPr>
                <w:rFonts w:ascii="Arial" w:cs="Arial" w:eastAsia="Arial" w:hAnsi="Arial"/>
                <w:sz w:val="18"/>
                <w:szCs w:val="18"/>
                <w:b w:val="1"/>
                <w:bCs w:val="1"/>
                <w:color w:val="auto"/>
              </w:rPr>
              <w:t>November 1,</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November 2,</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October 28,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6"/>
              </w:rPr>
              <w:t>October 29,</w:t>
            </w:r>
          </w:p>
        </w:tc>
        <w:tc>
          <w:tcPr>
            <w:tcW w:w="20" w:type="dxa"/>
            <w:vAlign w:val="bottom"/>
          </w:tcPr>
          <w:p>
            <w:pPr>
              <w:spacing w:after="0"/>
              <w:rPr>
                <w:sz w:val="19"/>
                <w:szCs w:val="19"/>
                <w:color w:val="auto"/>
              </w:rPr>
            </w:pPr>
          </w:p>
        </w:tc>
      </w:tr>
      <w:tr>
        <w:trPr>
          <w:trHeight w:val="251"/>
        </w:trPr>
        <w:tc>
          <w:tcPr>
            <w:tcW w:w="4120" w:type="dxa"/>
            <w:vAlign w:val="bottom"/>
            <w:tcBorders>
              <w:bottom w:val="single" w:sz="8" w:color="C0C0C0"/>
            </w:tcBorders>
          </w:tcPr>
          <w:p>
            <w:pPr>
              <w:spacing w:after="0"/>
              <w:rPr>
                <w:sz w:val="21"/>
                <w:szCs w:val="21"/>
                <w:color w:val="auto"/>
              </w:rPr>
            </w:pPr>
          </w:p>
        </w:tc>
        <w:tc>
          <w:tcPr>
            <w:tcW w:w="17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2010</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1"/>
                <w:szCs w:val="21"/>
                <w:color w:val="auto"/>
              </w:rPr>
            </w:pP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Working capital</w:t>
            </w:r>
          </w:p>
        </w:tc>
        <w:tc>
          <w:tcPr>
            <w:tcW w:w="1880" w:type="dxa"/>
            <w:vAlign w:val="bottom"/>
            <w:gridSpan w:val="2"/>
            <w:shd w:val="clear" w:color="auto" w:fill="C0C0C0"/>
          </w:tcPr>
          <w:p>
            <w:pPr>
              <w:ind w:left="1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86,573</w:t>
            </w:r>
          </w:p>
        </w:tc>
        <w:tc>
          <w:tcPr>
            <w:tcW w:w="3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89,542</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66,419</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96,606</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   127,691</w:t>
            </w:r>
          </w:p>
        </w:tc>
        <w:tc>
          <w:tcPr>
            <w:tcW w:w="20" w:type="dxa"/>
            <w:vAlign w:val="bottom"/>
          </w:tcPr>
          <w:p>
            <w:pPr>
              <w:spacing w:after="0"/>
              <w:rPr>
                <w:sz w:val="21"/>
                <w:szCs w:val="2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369,814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347,889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436,528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531,578</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443,637</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Total assets</w:t>
            </w:r>
          </w:p>
        </w:tc>
        <w:tc>
          <w:tcPr>
            <w:tcW w:w="17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703,879</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663,656</w:t>
            </w: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758,007</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1,059,780</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1,045,683</w:t>
            </w:r>
          </w:p>
        </w:tc>
        <w:tc>
          <w:tcPr>
            <w:tcW w:w="20" w:type="dxa"/>
            <w:vAlign w:val="bottom"/>
          </w:tcPr>
          <w:p>
            <w:pPr>
              <w:spacing w:after="0"/>
              <w:rPr>
                <w:sz w:val="21"/>
                <w:szCs w:val="2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Long-term debt</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78,852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112,137</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202,979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191,253</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170,288</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17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495,943</w:t>
            </w:r>
          </w:p>
        </w:tc>
        <w:tc>
          <w:tcPr>
            <w:tcW w:w="1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449,696</w:t>
            </w: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432,398</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703,749</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660,279</w:t>
            </w:r>
          </w:p>
        </w:tc>
        <w:tc>
          <w:tcPr>
            <w:tcW w:w="20" w:type="dxa"/>
            <w:vAlign w:val="bottom"/>
          </w:tcPr>
          <w:p>
            <w:pPr>
              <w:spacing w:after="0"/>
              <w:rPr>
                <w:sz w:val="21"/>
                <w:szCs w:val="21"/>
                <w:color w:val="auto"/>
              </w:rPr>
            </w:pPr>
          </w:p>
        </w:tc>
      </w:tr>
    </w:tbl>
    <w:p>
      <w:pPr>
        <w:spacing w:after="0" w:line="205"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consolidation and restructuring credits of $5.0 million in connection with the closure of the Company's Shanghai, China, facility.</w:t>
      </w:r>
    </w:p>
    <w:p>
      <w:pPr>
        <w:spacing w:after="0" w:line="325"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non-cash mark-to-market charge of $0.9 million net of tax in connection with warrants issued to purchase the Company's common stock.</w:t>
      </w:r>
    </w:p>
    <w:p>
      <w:pPr>
        <w:spacing w:after="0" w:line="325" w:lineRule="exact"/>
        <w:rPr>
          <w:rFonts w:ascii="Arial" w:cs="Arial" w:eastAsia="Arial" w:hAnsi="Arial"/>
          <w:sz w:val="14"/>
          <w:szCs w:val="14"/>
          <w:color w:val="auto"/>
        </w:rPr>
      </w:pPr>
    </w:p>
    <w:p>
      <w:pPr>
        <w:ind w:left="440" w:right="360" w:hanging="432"/>
        <w:spacing w:after="0" w:line="239" w:lineRule="auto"/>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$13.6 million ($12.9 million net of tax) in connection with the closures of the Company's Shanghai, China, and Manchester, U.K. manufacturing facilities.</w:t>
      </w:r>
    </w:p>
    <w:p>
      <w:pPr>
        <w:spacing w:after="0" w:line="219"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impairment charge of $1.5 million ($1.1 million net of tax) related to the Company's Manchester, U.K., manufacturing facility.</w:t>
      </w:r>
    </w:p>
    <w:p>
      <w:pPr>
        <w:spacing w:after="0" w:line="325"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non-cash mark-to-market charge of $0.3 million net of tax in connection with warrants issued to purchase the Company's common stock.</w:t>
      </w:r>
    </w:p>
    <w:p>
      <w:pPr>
        <w:spacing w:after="0" w:line="325"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$0.5 million ($0.4 million net of tax) in connection with the closure of the Company's Manchester, U.K., manufacturing facility.</w:t>
      </w:r>
    </w:p>
    <w:p>
      <w:pPr>
        <w:spacing w:after="0" w:line="325"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impairment charge of $66.9 million ($60.9 million net of tax) for certain long-lived assets in Asia and Europe.</w:t>
      </w:r>
    </w:p>
    <w:p>
      <w:pPr>
        <w:spacing w:after="0" w:line="325"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impairment of goodwill charge of $138.5 million ($137.3 million net of tax).</w:t>
      </w:r>
    </w:p>
    <w:p>
      <w:pPr>
        <w:spacing w:after="0" w:line="325" w:lineRule="exact"/>
        <w:rPr>
          <w:rFonts w:ascii="Arial" w:cs="Arial" w:eastAsia="Arial" w:hAnsi="Arial"/>
          <w:sz w:val="14"/>
          <w:szCs w:val="14"/>
          <w:color w:val="auto"/>
        </w:rPr>
      </w:pPr>
    </w:p>
    <w:p>
      <w:pPr>
        <w:ind w:left="440" w:hanging="4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consolidation and restructuring charges of $15.6 million net of tax in connection with the closure of the Company's Austin, Texas, manufacturing and research and development facility.</w:t>
      </w:r>
    </w:p>
    <w:p>
      <w:pPr>
        <w:spacing w:after="0" w:line="318" w:lineRule="exact"/>
        <w:rPr>
          <w:sz w:val="20"/>
          <w:szCs w:val="20"/>
          <w:color w:val="auto"/>
        </w:rPr>
      </w:pPr>
    </w:p>
    <w:p>
      <w:pPr>
        <w:ind w:right="1660"/>
        <w:spacing w:after="0" w:line="50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October 31, 2010, November 1, 2009 and November 2, 2008 Overview</w:t>
      </w:r>
    </w:p>
    <w:p>
      <w:pPr>
        <w:spacing w:after="0" w:line="1" w:lineRule="exact"/>
        <w:rPr>
          <w:sz w:val="20"/>
          <w:szCs w:val="20"/>
          <w:color w:val="auto"/>
        </w:rPr>
      </w:pPr>
    </w:p>
    <w:p>
      <w:pPr>
        <w:ind w:right="80" w:firstLine="220"/>
        <w:spacing w:after="0" w:line="286"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 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2008 that continued into 2009, which had a negative impact on the Company's 2009 operating results. The Company's 2009 operating results were also negatively impacted by the global recession.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40" w:firstLine="220"/>
        <w:spacing w:after="0" w:line="289"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 cessful in these environments is dependent upon achieving its goals of being a service and technology leader, an efficient solutions supplier, and a company able to continually reinvest in its global infrastructure.</w:t>
      </w:r>
    </w:p>
    <w:p>
      <w:pPr>
        <w:spacing w:after="0" w:line="199"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effects of the worsened global economy and the tightening credit market have made it increasingly difficult for the Company to obtain external sources of financing to fund its operations. As the Company continues to face challenges in the current and near term that require it to continue to make significant improvements in its competitiveness, it continues to evaluate further cost reduction initiatives.</w:t>
      </w:r>
    </w:p>
    <w:p>
      <w:pPr>
        <w:spacing w:after="0" w:line="221" w:lineRule="exact"/>
        <w:rPr>
          <w:sz w:val="20"/>
          <w:szCs w:val="20"/>
          <w:color w:val="auto"/>
        </w:rPr>
      </w:pPr>
    </w:p>
    <w:p>
      <w:pPr>
        <w:ind w:right="200" w:firstLine="270"/>
        <w:spacing w:after="0" w:line="256" w:lineRule="auto"/>
        <w:rPr>
          <w:sz w:val="20"/>
          <w:szCs w:val="20"/>
          <w:color w:val="auto"/>
        </w:rPr>
      </w:pPr>
      <w:r>
        <w:rPr>
          <w:rFonts w:ascii="Arial" w:cs="Arial" w:eastAsia="Arial" w:hAnsi="Arial"/>
          <w:sz w:val="18"/>
          <w:szCs w:val="18"/>
          <w:color w:val="auto"/>
        </w:rPr>
        <w:t>The Company is focused on improving its competitiveness by advancing its technology and reducing costs and, in connection therewith, increased its high-end manufacturing capability in 2008 with the commencement of production at its nanofab facility ("U.S. nanoFab") in Boise, Idaho. In order to lower its operating costs and increase its manufacturing efficiencies, the Company ceased the manufacture of photomasks at its facility in Manchester, U.K., in January 2009 and at its facility in Shanghai, China, in July 2009.</w:t>
      </w:r>
    </w:p>
    <w:p>
      <w:pPr>
        <w:spacing w:after="0" w:line="224" w:lineRule="exact"/>
        <w:rPr>
          <w:sz w:val="20"/>
          <w:szCs w:val="20"/>
          <w:color w:val="auto"/>
        </w:rPr>
      </w:pPr>
    </w:p>
    <w:p>
      <w:pPr>
        <w:ind w:right="180" w:firstLine="270"/>
        <w:spacing w:after="0" w:line="318" w:lineRule="auto"/>
        <w:rPr>
          <w:sz w:val="20"/>
          <w:szCs w:val="20"/>
          <w:color w:val="auto"/>
        </w:rPr>
      </w:pPr>
      <w:r>
        <w:rPr>
          <w:rFonts w:ascii="Arial" w:cs="Arial" w:eastAsia="Arial" w:hAnsi="Arial"/>
          <w:sz w:val="15"/>
          <w:szCs w:val="15"/>
          <w:color w:val="auto"/>
        </w:rPr>
        <w:t>As of December 2010, state-of-the-art production for semiconductor masks is considered to be 45 nanometer and lower for ICs and Generation 8 and above process technologies for FPDs, while 65 nanometer is currently in volume production. However, 90 nanometer and above geometries for semiconductors and Generation 7 and below process technologies for FPDs constitute the majority of designs currently being fabricated in volume. The Company expects 65 nanometer designs to continue to move to wafer fabrication throughout fiscal 2011, and believes it is well positioned to service an increasing volume of this business as a result of its investments in manufacturing processes and technology in the global regions where its customers are located.</w:t>
      </w:r>
    </w:p>
    <w:p>
      <w:pPr>
        <w:spacing w:after="0" w:line="181" w:lineRule="exact"/>
        <w:rPr>
          <w:sz w:val="20"/>
          <w:szCs w:val="20"/>
          <w:color w:val="auto"/>
        </w:rPr>
      </w:pPr>
    </w:p>
    <w:p>
      <w:pPr>
        <w:ind w:right="100" w:firstLine="270"/>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 place application-specific ICs. Furthermore, increased market acceptance of alternative methods of transferring circuit designs onto semiconductor wafers, such as direct-write lithography, could reduce or eliminate the need for photomasks in the production of semiconductors. As of the end of fiscal 2010, direct-write lithography has not been proven to be a commercially viable alternative to photomasks, as it is considered too slow for high volume semiconductor wafer production, and the Company has not experienced a significant loss of revenue as a result of alternative semiconductor design methodologies. However, should direct-write or any other alternative methods of transferring IC designs to semiconductor wafers without the use of photomasks achieve market acceptance and the Company is unable to anticipate, respond to, or utilize these or other changing technologies due to resource, technological or other constraints, its business and results of operations could be materially adversely affected.</w:t>
      </w:r>
    </w:p>
    <w:p>
      <w:pPr>
        <w:spacing w:after="0" w:line="202" w:lineRule="exact"/>
        <w:rPr>
          <w:sz w:val="20"/>
          <w:szCs w:val="20"/>
          <w:color w:val="auto"/>
        </w:rPr>
      </w:pPr>
    </w:p>
    <w:p>
      <w:pPr>
        <w:ind w:right="140" w:firstLine="270"/>
        <w:spacing w:after="0" w:line="294" w:lineRule="auto"/>
        <w:rPr>
          <w:sz w:val="20"/>
          <w:szCs w:val="20"/>
          <w:color w:val="auto"/>
        </w:rPr>
      </w:pPr>
      <w:r>
        <w:rPr>
          <w:rFonts w:ascii="Arial" w:cs="Arial" w:eastAsia="Arial" w:hAnsi="Arial"/>
          <w:sz w:val="16"/>
          <w:szCs w:val="16"/>
          <w:color w:val="auto"/>
        </w:rPr>
        <w:t>Both revenues and costs have been affected by the increased demand for high-end technology photomasks that require more advanced manufacturing capabilities, but generally command higher average selling prices ("ASPs"). The Company's capital expenditure payments for new facilities and equipment aggregated approximately $212 million for the three fiscal years ended October 31, 2010, resulting in significant increases in operating expenses. The Company intends to continue to make the required investments to support the technological demands of its customers and position itself for future growth, and expects capital expenditure payments to be between $70 million and $90 million in fiscal 2011.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9" w:name="page20"/>
    <w:bookmarkEnd w:id="19"/>
    <w:p>
      <w:pPr>
        <w:ind w:right="40" w:firstLine="220"/>
        <w:spacing w:after="0" w:line="294" w:lineRule="auto"/>
        <w:rPr>
          <w:sz w:val="20"/>
          <w:szCs w:val="20"/>
          <w:color w:val="auto"/>
        </w:rPr>
      </w:pPr>
      <w:r>
        <w:rPr>
          <w:rFonts w:ascii="Arial" w:cs="Arial" w:eastAsia="Arial" w:hAnsi="Arial"/>
          <w:sz w:val="16"/>
          <w:szCs w:val="16"/>
          <w:color w:val="auto"/>
        </w:rPr>
        <w:t>The manufacture of photomasks for use in fabricating ICs and other related products built using comparable photomask-based process technologies has been, and continues to be, capital intensive due to the need to maintain a technology-based infrastructure. The Company's integrated global manufacturing network, which consists of nine manufacturing sites, and its employees represent a significant portion of its fixed operating cost base. Should sales volumes decrease as a result of a decrease in design releases from the Company's customers, the Company may have excess or underutilized production capacity that could significantly impact operating margins, or result in write-offs from asset impairments.</w:t>
      </w:r>
    </w:p>
    <w:p>
      <w:pPr>
        <w:spacing w:after="0" w:line="197"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The vast majority of photomask units produced for semiconductor manufacturers employ geometries of 90 nanometers or larger for ICs, and the vast majority of photomask units produced for FPD manufacturers are Generation 7 technologies or lower. At these geometries, the Company can produce full lines of photomasks and there is no significant technology employed by the Company's competitors that is not available to the Company. Semiconductor fabrication also occurs below 90 nanometer for ICs, and FPD fabrication also occurs at Generation 8 and above.</w:t>
      </w:r>
    </w:p>
    <w:p>
      <w:pPr>
        <w:spacing w:after="0" w:line="194"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color w:val="auto"/>
        </w:rPr>
        <w:t>In September 2009 the Company issued approximately 11.1 million shares of its common stock at a price of $4.15 per share. Gross proceeds from the offering were $46.0 million which were reduced by underwriting commissions and other expenses to yield net proceeds of approximately $43.1 million. The net proceeds from the offering were used to reduce outstanding amounts under the Company's credit facility.</w:t>
      </w:r>
    </w:p>
    <w:p>
      <w:pPr>
        <w:spacing w:after="0" w:line="221"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Also in September 2009 the Company issued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stated maturity date. The net proceeds of the offering were approximately $54.9 million, which were used to reduce outstanding amounts under the Company's credit facility. As of October 31, 2010, none of the convertible senior notes have been converted. Concurrent with the issuance of t he 5.5% convertible senior notes, the Company issued warrants to Intel Capital Corporation to purchase a total of 750,000 shares of the Company's common stock, 500,000 of which were at an exercise price of $4.15 per share and 250,000 at an exercise price of $5.08 per share. The warrants expire on September 10, 2014, and were issued to Intel Capital Corporation, an affiliate of Intel Corporation, in consideration for an agreement between the Company and Intel Corporation to share technical and operations information regarding the development of the Company's products, the capabilities of the Company's photomask manufacturing lines and the alignment of photomask toolsets. As of October 31, 2010, none of the warrants issued to Intel Capital Corporation have been exercised. Intel Capital Corporation also invested in the Company's convertible debt offering described above.</w:t>
      </w:r>
    </w:p>
    <w:p>
      <w:pPr>
        <w:spacing w:after="0" w:line="205"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the third quarter of 2009 the Company ceased the manufacture of photomasks at its Shanghai, China, facility. Through the end of fiscal 2009, the Company recorded total restructuring charges related to this action of $10.2 million, including $9.9 million related to asset write-downs, primarily for the Shanghai manufacturing facility whose fair value was determined by management using a market approach. Approximately seventy-five employees were affected by this action. During fiscal 2010, the Company recorded net restructuring credits related to the Shanghai facility closing of $5.0 million. The net credit was primarily the result of a gain of $5.4 million related to the sale of the facility.</w:t>
      </w:r>
    </w:p>
    <w:p>
      <w:pPr>
        <w:spacing w:after="0" w:line="197" w:lineRule="exact"/>
        <w:rPr>
          <w:sz w:val="20"/>
          <w:szCs w:val="20"/>
          <w:color w:val="auto"/>
        </w:rPr>
      </w:pPr>
    </w:p>
    <w:p>
      <w:pPr>
        <w:ind w:right="160" w:firstLine="338"/>
        <w:spacing w:after="0" w:line="259" w:lineRule="auto"/>
        <w:rPr>
          <w:sz w:val="20"/>
          <w:szCs w:val="20"/>
          <w:color w:val="auto"/>
        </w:rPr>
      </w:pPr>
      <w:r>
        <w:rPr>
          <w:rFonts w:ascii="Arial" w:cs="Arial" w:eastAsia="Arial" w:hAnsi="Arial"/>
          <w:sz w:val="18"/>
          <w:szCs w:val="18"/>
          <w:color w:val="auto"/>
        </w:rPr>
        <w:t>In the first quarter of 2009 the Company ceased the manufacture of photomasks at its Manchester, U.K. facility and in connection therewith, restructuring charges (primarily for termination costs and asset write-downs) of $3.3 million ($2.7 million net of tax) were incurred in fiscal 2009. Approximately eighty-five employees were affected by this action.</w:t>
      </w:r>
    </w:p>
    <w:p>
      <w:pPr>
        <w:spacing w:after="0" w:line="221"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color w:val="auto"/>
        </w:rPr>
        <w:t>In the third quarter of fiscal 2008, the Company recorded impairment charges of $66.9 million for certain of its long-lived assets and wrote off all $138.5 million of its goodwill (see Note 13 to the consolidated financial statements).</w:t>
      </w:r>
    </w:p>
    <w:p>
      <w:pPr>
        <w:spacing w:after="0" w:line="213"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 pital lease until the end of its original lease term. For the additional two years of the new lease term, the lease will be accounted for as an operating lease. The U.S. nanoFab began production in the second quarter of 2008 and, through the end of fiscal 2010, the Company's total capital investment in the facility was approximately $178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80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2"/>
        </w:trPr>
        <w:tc>
          <w:tcPr>
            <w:tcW w:w="8060" w:type="dxa"/>
            <w:vAlign w:val="bottom"/>
          </w:tcPr>
          <w:p>
            <w:pPr>
              <w:ind w:left="220"/>
              <w:spacing w:after="0"/>
              <w:rPr>
                <w:sz w:val="20"/>
                <w:szCs w:val="20"/>
                <w:color w:val="auto"/>
              </w:rPr>
            </w:pPr>
            <w:r>
              <w:rPr>
                <w:rFonts w:ascii="Arial" w:cs="Arial" w:eastAsia="Arial" w:hAnsi="Arial"/>
                <w:sz w:val="18"/>
                <w:szCs w:val="18"/>
                <w:color w:val="auto"/>
                <w:w w:val="98"/>
              </w:rPr>
              <w:t>The following table presents selected operating information expressed as a percentage of net sales: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5"/>
        </w:trPr>
        <w:tc>
          <w:tcPr>
            <w:tcW w:w="8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Borders>
              <w:bottom w:val="single" w:sz="8" w:color="auto"/>
            </w:tcBorders>
          </w:tcPr>
          <w:p>
            <w:pPr>
              <w:spacing w:after="0"/>
              <w:rPr>
                <w:sz w:val="24"/>
                <w:szCs w:val="24"/>
                <w:color w:val="auto"/>
              </w:rPr>
            </w:pPr>
          </w:p>
        </w:tc>
      </w:tr>
      <w:tr>
        <w:trPr>
          <w:trHeight w:val="228"/>
        </w:trPr>
        <w:tc>
          <w:tcPr>
            <w:tcW w:w="806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88"/>
              </w:rPr>
              <w:t>November 2,</w:t>
            </w:r>
          </w:p>
        </w:tc>
      </w:tr>
      <w:tr>
        <w:trPr>
          <w:trHeight w:val="251"/>
        </w:trPr>
        <w:tc>
          <w:tcPr>
            <w:tcW w:w="806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r>
      <w:tr>
        <w:trPr>
          <w:trHeight w:val="243"/>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80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Cost of sales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(78.4)</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(84.2)</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(82.8)</w:t>
            </w:r>
          </w:p>
        </w:tc>
      </w:tr>
      <w:tr>
        <w:trPr>
          <w:trHeight w:val="243"/>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8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17.2</w:t>
            </w:r>
          </w:p>
        </w:tc>
      </w:tr>
      <w:tr>
        <w:trPr>
          <w:trHeight w:val="235"/>
        </w:trPr>
        <w:tc>
          <w:tcPr>
            <w:tcW w:w="8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(13.1)</w:t>
            </w:r>
          </w:p>
        </w:tc>
      </w:tr>
      <w:tr>
        <w:trPr>
          <w:trHeight w:val="251"/>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r>
      <w:tr>
        <w:trPr>
          <w:trHeight w:val="235"/>
        </w:trPr>
        <w:tc>
          <w:tcPr>
            <w:tcW w:w="8060" w:type="dxa"/>
            <w:vAlign w:val="bottom"/>
          </w:tcPr>
          <w:p>
            <w:pPr>
              <w:spacing w:after="0"/>
              <w:rPr>
                <w:sz w:val="20"/>
                <w:szCs w:val="20"/>
                <w:color w:val="auto"/>
              </w:rPr>
            </w:pPr>
            <w:r>
              <w:rPr>
                <w:rFonts w:ascii="Arial" w:cs="Arial" w:eastAsia="Arial" w:hAnsi="Arial"/>
                <w:sz w:val="18"/>
                <w:szCs w:val="18"/>
                <w:color w:val="auto"/>
              </w:rPr>
              <w:t>Consolidation, restructuring and related credits (charges)</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251"/>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Impairment of long-lived assets</w:t>
            </w:r>
          </w:p>
        </w:tc>
        <w:tc>
          <w:tcPr>
            <w:tcW w:w="8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(15.8)</w:t>
            </w:r>
          </w:p>
        </w:tc>
      </w:tr>
      <w:tr>
        <w:trPr>
          <w:trHeight w:val="235"/>
        </w:trPr>
        <w:tc>
          <w:tcPr>
            <w:tcW w:w="80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(32.8)</w:t>
            </w:r>
          </w:p>
        </w:tc>
      </w:tr>
      <w:tr>
        <w:trPr>
          <w:trHeight w:val="251"/>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Gain on sale of facility</w:t>
            </w:r>
          </w:p>
        </w:tc>
        <w:tc>
          <w:tcPr>
            <w:tcW w:w="88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(48.7)</w:t>
            </w:r>
          </w:p>
        </w:tc>
      </w:tr>
      <w:tr>
        <w:trPr>
          <w:trHeight w:val="251"/>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(2.8)</w:t>
            </w:r>
          </w:p>
        </w:tc>
      </w:tr>
      <w:tr>
        <w:trPr>
          <w:trHeight w:val="237"/>
        </w:trPr>
        <w:tc>
          <w:tcPr>
            <w:tcW w:w="80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Investment and other income (expense), net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r>
      <w:tr>
        <w:trPr>
          <w:trHeight w:val="243"/>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Income (loss) before income tax (provision) benefit</w:t>
            </w:r>
          </w:p>
        </w:tc>
        <w:tc>
          <w:tcPr>
            <w:tcW w:w="8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(50.2)</w:t>
            </w:r>
          </w:p>
        </w:tc>
      </w:tr>
      <w:tr>
        <w:trPr>
          <w:trHeight w:val="237"/>
        </w:trPr>
        <w:tc>
          <w:tcPr>
            <w:tcW w:w="80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Income tax (provision) benefit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0.6</w:t>
            </w:r>
          </w:p>
        </w:tc>
      </w:tr>
      <w:tr>
        <w:trPr>
          <w:trHeight w:val="243"/>
        </w:trPr>
        <w:tc>
          <w:tcPr>
            <w:tcW w:w="80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(49.6)</w:t>
            </w:r>
          </w:p>
        </w:tc>
      </w:tr>
      <w:tr>
        <w:trPr>
          <w:trHeight w:val="237"/>
        </w:trPr>
        <w:tc>
          <w:tcPr>
            <w:tcW w:w="80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(0.3)</w:t>
            </w:r>
          </w:p>
        </w:tc>
      </w:tr>
      <w:tr>
        <w:trPr>
          <w:trHeight w:val="250"/>
        </w:trPr>
        <w:tc>
          <w:tcPr>
            <w:tcW w:w="80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0C0C0"/>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0C0C0"/>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(49.9)%</w:t>
            </w:r>
          </w:p>
        </w:tc>
      </w:tr>
    </w:tbl>
    <w:p>
      <w:pPr>
        <w:spacing w:after="0" w:line="235"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October 31, 2010 (2010), November 1, 2009 (2009) and November 2, 2008 (2008), in millions of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5"/>
        </w:trPr>
        <w:tc>
          <w:tcPr>
            <w:tcW w:w="3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Percent Change</w:t>
            </w:r>
          </w:p>
        </w:tc>
        <w:tc>
          <w:tcPr>
            <w:tcW w:w="20" w:type="dxa"/>
            <w:vAlign w:val="bottom"/>
          </w:tcPr>
          <w:p>
            <w:pPr>
              <w:spacing w:after="0"/>
              <w:rPr>
                <w:sz w:val="24"/>
                <w:szCs w:val="24"/>
                <w:color w:val="auto"/>
              </w:rPr>
            </w:pPr>
          </w:p>
        </w:tc>
      </w:tr>
      <w:tr>
        <w:trPr>
          <w:trHeight w:val="228"/>
        </w:trPr>
        <w:tc>
          <w:tcPr>
            <w:tcW w:w="33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2009 to</w:t>
            </w:r>
          </w:p>
        </w:tc>
        <w:tc>
          <w:tcPr>
            <w:tcW w:w="820" w:type="dxa"/>
            <w:vAlign w:val="bottom"/>
          </w:tcPr>
          <w:p>
            <w:pPr>
              <w:ind w:left="140"/>
              <w:spacing w:after="0"/>
              <w:rPr>
                <w:sz w:val="20"/>
                <w:szCs w:val="20"/>
                <w:color w:val="auto"/>
              </w:rPr>
            </w:pPr>
            <w:r>
              <w:rPr>
                <w:rFonts w:ascii="Arial" w:cs="Arial" w:eastAsia="Arial" w:hAnsi="Arial"/>
                <w:sz w:val="18"/>
                <w:szCs w:val="18"/>
                <w:b w:val="1"/>
                <w:bCs w:val="1"/>
                <w:color w:val="auto"/>
              </w:rPr>
              <w:t>2008 to</w:t>
            </w:r>
          </w:p>
        </w:tc>
        <w:tc>
          <w:tcPr>
            <w:tcW w:w="20" w:type="dxa"/>
            <w:vAlign w:val="bottom"/>
          </w:tcPr>
          <w:p>
            <w:pPr>
              <w:spacing w:after="0"/>
              <w:rPr>
                <w:sz w:val="19"/>
                <w:szCs w:val="19"/>
                <w:color w:val="auto"/>
              </w:rPr>
            </w:pPr>
          </w:p>
        </w:tc>
      </w:tr>
      <w:tr>
        <w:trPr>
          <w:trHeight w:val="251"/>
        </w:trPr>
        <w:tc>
          <w:tcPr>
            <w:tcW w:w="3320" w:type="dxa"/>
            <w:vAlign w:val="bottom"/>
            <w:tcBorders>
              <w:bottom w:val="single" w:sz="8" w:color="C0C0C0"/>
            </w:tcBorders>
          </w:tcPr>
          <w:p>
            <w:pPr>
              <w:spacing w:after="0"/>
              <w:rPr>
                <w:sz w:val="21"/>
                <w:szCs w:val="21"/>
                <w:color w:val="auto"/>
              </w:rPr>
            </w:pPr>
          </w:p>
        </w:tc>
        <w:tc>
          <w:tcPr>
            <w:tcW w:w="4000" w:type="dxa"/>
            <w:vAlign w:val="bottom"/>
            <w:tcBorders>
              <w:bottom w:val="single" w:sz="8" w:color="C0C0C0"/>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2009</w:t>
            </w:r>
          </w:p>
        </w:tc>
        <w:tc>
          <w:tcPr>
            <w:tcW w:w="260" w:type="dxa"/>
            <w:vAlign w:val="bottom"/>
            <w:tcBorders>
              <w:bottom w:val="single" w:sz="8" w:color="C0C0C0"/>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3320" w:type="dxa"/>
            <w:vAlign w:val="bottom"/>
            <w:shd w:val="clear" w:color="auto" w:fill="C0C0C0"/>
          </w:tcPr>
          <w:p>
            <w:pPr>
              <w:spacing w:after="0"/>
              <w:rPr>
                <w:sz w:val="20"/>
                <w:szCs w:val="20"/>
                <w:color w:val="auto"/>
              </w:rPr>
            </w:pPr>
            <w:r>
              <w:rPr>
                <w:rFonts w:ascii="Arial" w:cs="Arial" w:eastAsia="Arial" w:hAnsi="Arial"/>
                <w:sz w:val="18"/>
                <w:szCs w:val="18"/>
                <w:color w:val="auto"/>
              </w:rPr>
              <w:t>IC</w:t>
            </w:r>
          </w:p>
        </w:tc>
        <w:tc>
          <w:tcPr>
            <w:tcW w:w="464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$ 329.8</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$ 272.9</w:t>
            </w:r>
          </w:p>
        </w:tc>
        <w:tc>
          <w:tcPr>
            <w:tcW w:w="2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w w:val="83"/>
              </w:rPr>
              <w:t>$ 314.9</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8"/>
              </w:rPr>
              <w:t>(13.3)%</w:t>
            </w:r>
          </w:p>
        </w:tc>
        <w:tc>
          <w:tcPr>
            <w:tcW w:w="20" w:type="dxa"/>
            <w:vAlign w:val="bottom"/>
          </w:tcPr>
          <w:p>
            <w:pPr>
              <w:spacing w:after="0"/>
              <w:rPr>
                <w:sz w:val="21"/>
                <w:szCs w:val="21"/>
                <w:color w:val="auto"/>
              </w:rPr>
            </w:pP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FPD</w:t>
            </w:r>
          </w:p>
        </w:tc>
        <w:tc>
          <w:tcPr>
            <w:tcW w:w="40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107.6</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0"/>
                <w:szCs w:val="20"/>
                <w:color w:val="auto"/>
              </w:rPr>
            </w:pPr>
          </w:p>
        </w:tc>
      </w:tr>
      <w:tr>
        <w:trPr>
          <w:trHeight w:val="21"/>
        </w:trPr>
        <w:tc>
          <w:tcPr>
            <w:tcW w:w="3320" w:type="dxa"/>
            <w:vAlign w:val="bottom"/>
            <w:shd w:val="clear" w:color="auto" w:fill="C0C0C0"/>
          </w:tcPr>
          <w:p>
            <w:pPr>
              <w:spacing w:after="0" w:line="20" w:lineRule="exact"/>
              <w:rPr>
                <w:sz w:val="1"/>
                <w:szCs w:val="1"/>
                <w:color w:val="auto"/>
              </w:rPr>
            </w:pPr>
          </w:p>
        </w:tc>
        <w:tc>
          <w:tcPr>
            <w:tcW w:w="4000" w:type="dxa"/>
            <w:vAlign w:val="bottom"/>
            <w:shd w:val="clear" w:color="auto" w:fill="C0C0C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32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w:t>
            </w:r>
          </w:p>
        </w:tc>
        <w:tc>
          <w:tcPr>
            <w:tcW w:w="464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$ 425.6</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$ 361.4</w:t>
            </w:r>
          </w:p>
        </w:tc>
        <w:tc>
          <w:tcPr>
            <w:tcW w:w="26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w w:val="83"/>
              </w:rPr>
              <w:t>$ 422.5</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0C0C0"/>
          </w:tcPr>
          <w:p>
            <w:pPr>
              <w:spacing w:after="0"/>
              <w:rPr>
                <w:sz w:val="22"/>
                <w:szCs w:val="22"/>
                <w:color w:val="auto"/>
              </w:rPr>
            </w:pPr>
          </w:p>
        </w:tc>
        <w:tc>
          <w:tcPr>
            <w:tcW w:w="82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8"/>
              </w:rPr>
              <w:t>(14.5)%</w:t>
            </w:r>
          </w:p>
        </w:tc>
        <w:tc>
          <w:tcPr>
            <w:tcW w:w="20" w:type="dxa"/>
            <w:vAlign w:val="bottom"/>
          </w:tcPr>
          <w:p>
            <w:pPr>
              <w:spacing w:after="0"/>
              <w:rPr>
                <w:sz w:val="22"/>
                <w:szCs w:val="22"/>
                <w:color w:val="auto"/>
              </w:rPr>
            </w:pPr>
          </w:p>
        </w:tc>
      </w:tr>
      <w:tr>
        <w:trPr>
          <w:trHeight w:val="418"/>
        </w:trPr>
        <w:tc>
          <w:tcPr>
            <w:tcW w:w="3320" w:type="dxa"/>
            <w:vAlign w:val="bottom"/>
            <w:tcBorders>
              <w:top w:val="single" w:sz="8" w:color="C0C0C0"/>
            </w:tcBorders>
          </w:tcPr>
          <w:p>
            <w:pPr>
              <w:spacing w:after="0"/>
              <w:rPr>
                <w:sz w:val="24"/>
                <w:szCs w:val="24"/>
                <w:color w:val="auto"/>
              </w:rPr>
            </w:pPr>
          </w:p>
        </w:tc>
        <w:tc>
          <w:tcPr>
            <w:tcW w:w="4000" w:type="dxa"/>
            <w:vAlign w:val="bottom"/>
            <w:tcBorders>
              <w:top w:val="single" w:sz="8" w:color="C0C0C0"/>
            </w:tcBorders>
          </w:tcPr>
          <w:p>
            <w:pPr>
              <w:jc w:val="right"/>
              <w:ind w:right="1432"/>
              <w:spacing w:after="0"/>
              <w:rPr>
                <w:sz w:val="20"/>
                <w:szCs w:val="20"/>
                <w:color w:val="auto"/>
              </w:rPr>
            </w:pPr>
            <w:r>
              <w:rPr>
                <w:rFonts w:ascii="Arial" w:cs="Arial" w:eastAsia="Arial" w:hAnsi="Arial"/>
                <w:sz w:val="18"/>
                <w:szCs w:val="18"/>
                <w:color w:val="auto"/>
              </w:rPr>
              <w:t>20</w:t>
            </w: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33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1" w:name="page22"/>
    <w:bookmarkEnd w:id="21"/>
    <w:p>
      <w:pPr>
        <w:ind w:right="20" w:firstLine="220"/>
        <w:spacing w:after="0" w:line="290" w:lineRule="auto"/>
        <w:rPr>
          <w:sz w:val="20"/>
          <w:szCs w:val="20"/>
          <w:color w:val="auto"/>
        </w:rPr>
      </w:pPr>
      <w:r>
        <w:rPr>
          <w:rFonts w:ascii="Arial" w:cs="Arial" w:eastAsia="Arial" w:hAnsi="Arial"/>
          <w:sz w:val="16"/>
          <w:szCs w:val="16"/>
          <w:color w:val="auto"/>
        </w:rPr>
        <w:t>Net sales for 2010 increased 17.8% to $425.6 million as compared to $361.4 million for 2009. The increase was primarily related to increased IC sales, mainly resulting from increased high-end unit demand, and to a lessor extent increased mainstream unit demand. FPD sales increased modestly as a result of increased unit demand for high-end products. High-end photomask applications, which typically have higher ASPs, include photomask sets for IC products using 65 nanometer and below technologies and, for FPD products, using G7 and above technologies. Sales of high-end IC photomasks increased to $62 million in 2010 as compared to $28 million in 2009, and sales of high-end FPD photomasks increased to $53 million in 2010 as compared to $48 million in 2009. By geographic area, net sales in 2010 as compared to 2009 increased by $36.8 million or 16.5% in Asia, increased by $23.9 million or 23.9% in North America, and incre ased by $3.5 million or 9.1% in Europe. As a percent of total sales in 2010, sales were 61% in Asia, 29% in North America and 10% in Europe.</w:t>
      </w:r>
    </w:p>
    <w:p>
      <w:pPr>
        <w:spacing w:after="0" w:line="199"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Net sales for 2009 decreased 14.5% to $361.4 million as compared to $422.5 million for 2008. The decrease was primarily associated with the global recession which led to reduced demand for IC and FPD photomasks. Accordingly, sales of IC photomasks decreased by $42.0 million, primarily related to decreases in both units and ASPs for mainstream photomasks, and FPD photomasks decreased by $19.1 million, primarily related to decreased sales of high-end FPD photomasks. During 2009, sales of high-end photomasks were $77 million as compared to $92 million in 2008. Total sales of high-end FPD photomasks decreased by $22 million, while sales of high-end IC photomasks increased by $7 million. By geographic area, net sales in 2009 as compared to 2008 decreased by $36.1 million or 13.9% in Asia, increased by $3.0 million or 3.1% in North America, and decreased by $28.0 million or 42.3% in Europe. As a percent of total sales in 2009, sales were 62% in Asia, 28% in North America and 10% in Europe.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55"/>
        </w:trPr>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rPr>
              <w:t>Percent Change</w:t>
            </w:r>
          </w:p>
        </w:tc>
      </w:tr>
      <w:tr>
        <w:trPr>
          <w:trHeight w:val="228"/>
        </w:trPr>
        <w:tc>
          <w:tcPr>
            <w:tcW w:w="5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2009 to</w:t>
            </w:r>
          </w:p>
        </w:tc>
        <w:tc>
          <w:tcPr>
            <w:tcW w:w="820" w:type="dxa"/>
            <w:vAlign w:val="bottom"/>
          </w:tcPr>
          <w:p>
            <w:pPr>
              <w:ind w:left="140"/>
              <w:spacing w:after="0"/>
              <w:rPr>
                <w:sz w:val="20"/>
                <w:szCs w:val="20"/>
                <w:color w:val="auto"/>
              </w:rPr>
            </w:pPr>
            <w:r>
              <w:rPr>
                <w:rFonts w:ascii="Arial" w:cs="Arial" w:eastAsia="Arial" w:hAnsi="Arial"/>
                <w:sz w:val="18"/>
                <w:szCs w:val="18"/>
                <w:b w:val="1"/>
                <w:bCs w:val="1"/>
                <w:color w:val="auto"/>
              </w:rPr>
              <w:t>2008 to</w:t>
            </w:r>
          </w:p>
        </w:tc>
      </w:tr>
      <w:tr>
        <w:trPr>
          <w:trHeight w:val="251"/>
        </w:trPr>
        <w:tc>
          <w:tcPr>
            <w:tcW w:w="512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2009</w:t>
            </w:r>
          </w:p>
        </w:tc>
      </w:tr>
      <w:tr>
        <w:trPr>
          <w:trHeight w:val="243"/>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8"/>
              </w:rPr>
              <w:t>$91.8</w:t>
            </w: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$57.1</w:t>
            </w:r>
          </w:p>
        </w:tc>
        <w:tc>
          <w:tcPr>
            <w:tcW w:w="2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8"/>
              </w:rPr>
              <w:t>$72.7</w:t>
            </w: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8"/>
              </w:rPr>
              <w:t>(21.5)%</w:t>
            </w:r>
          </w:p>
        </w:tc>
      </w:tr>
      <w:tr>
        <w:trPr>
          <w:trHeight w:val="228"/>
        </w:trPr>
        <w:tc>
          <w:tcPr>
            <w:tcW w:w="5120" w:type="dxa"/>
            <w:vAlign w:val="bottom"/>
          </w:tcPr>
          <w:p>
            <w:pPr>
              <w:spacing w:after="0"/>
              <w:rPr>
                <w:sz w:val="20"/>
                <w:szCs w:val="20"/>
                <w:color w:val="auto"/>
              </w:rPr>
            </w:pPr>
            <w:r>
              <w:rPr>
                <w:rFonts w:ascii="Arial" w:cs="Arial" w:eastAsia="Arial" w:hAnsi="Arial"/>
                <w:sz w:val="18"/>
                <w:szCs w:val="18"/>
                <w:color w:val="auto"/>
              </w:rPr>
              <w:t>Gross margin %</w:t>
            </w:r>
          </w:p>
        </w:tc>
        <w:tc>
          <w:tcPr>
            <w:tcW w:w="560" w:type="dxa"/>
            <w:vAlign w:val="bottom"/>
          </w:tcPr>
          <w:p>
            <w:pPr>
              <w:ind w:left="100"/>
              <w:spacing w:after="0"/>
              <w:rPr>
                <w:sz w:val="20"/>
                <w:szCs w:val="20"/>
                <w:color w:val="auto"/>
              </w:rPr>
            </w:pPr>
            <w:r>
              <w:rPr>
                <w:rFonts w:ascii="Arial" w:cs="Arial" w:eastAsia="Arial" w:hAnsi="Arial"/>
                <w:sz w:val="18"/>
                <w:szCs w:val="18"/>
                <w:color w:val="auto"/>
                <w:w w:val="86"/>
              </w:rPr>
              <w:t>21.6%</w:t>
            </w:r>
          </w:p>
        </w:tc>
        <w:tc>
          <w:tcPr>
            <w:tcW w:w="22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86"/>
              </w:rPr>
              <w:t>15.8%</w:t>
            </w:r>
          </w:p>
        </w:tc>
        <w:tc>
          <w:tcPr>
            <w:tcW w:w="20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86"/>
              </w:rPr>
              <w:t>17.2%</w:t>
            </w:r>
          </w:p>
        </w:tc>
        <w:tc>
          <w:tcPr>
            <w:tcW w:w="22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5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Gross margin percentage increased to 21.6% in 2010 from 15.8% in 2009. This increase was primarily due to increased sales and increased high-end IC photomask units which have higher ASPs. Additionally, increased mainstream unit volume also contributed to the increased gross margin percentage in 2010. The Company operates in a high fixed cost environment and, to the extent that the Company's revenues and utilization increase or decrease, gross margin will generally be positively or negatively impacted. Gross margin percentage decreased to 15.8% in 2009 from 17.2% in 2008, primarily as a result of a year-over-year decrease in net sales.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55"/>
        </w:trPr>
        <w:tc>
          <w:tcPr>
            <w:tcW w:w="5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Percent Change</w:t>
            </w:r>
          </w:p>
        </w:tc>
      </w:tr>
      <w:tr>
        <w:trPr>
          <w:trHeight w:val="228"/>
        </w:trPr>
        <w:tc>
          <w:tcPr>
            <w:tcW w:w="5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2009 to</w:t>
            </w:r>
          </w:p>
        </w:tc>
        <w:tc>
          <w:tcPr>
            <w:tcW w:w="820" w:type="dxa"/>
            <w:vAlign w:val="bottom"/>
          </w:tcPr>
          <w:p>
            <w:pPr>
              <w:ind w:left="140"/>
              <w:spacing w:after="0"/>
              <w:rPr>
                <w:sz w:val="20"/>
                <w:szCs w:val="20"/>
                <w:color w:val="auto"/>
              </w:rPr>
            </w:pPr>
            <w:r>
              <w:rPr>
                <w:rFonts w:ascii="Arial" w:cs="Arial" w:eastAsia="Arial" w:hAnsi="Arial"/>
                <w:sz w:val="18"/>
                <w:szCs w:val="18"/>
                <w:b w:val="1"/>
                <w:bCs w:val="1"/>
                <w:color w:val="auto"/>
              </w:rPr>
              <w:t>2008 to</w:t>
            </w:r>
          </w:p>
        </w:tc>
      </w:tr>
      <w:tr>
        <w:trPr>
          <w:trHeight w:val="251"/>
        </w:trPr>
        <w:tc>
          <w:tcPr>
            <w:tcW w:w="520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1"/>
                <w:szCs w:val="21"/>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2009</w:t>
            </w:r>
          </w:p>
        </w:tc>
      </w:tr>
      <w:tr>
        <w:trPr>
          <w:trHeight w:val="243"/>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S,G&amp;A expense</w:t>
            </w: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8"/>
              </w:rPr>
              <w:t>$42.4</w:t>
            </w: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$41.2</w:t>
            </w:r>
          </w:p>
        </w:tc>
        <w:tc>
          <w:tcPr>
            <w:tcW w:w="2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8"/>
              </w:rPr>
              <w:t>$55.2</w:t>
            </w:r>
          </w:p>
        </w:tc>
        <w:tc>
          <w:tcPr>
            <w:tcW w:w="22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8"/>
              </w:rPr>
              <w:t>(25.4)%</w:t>
            </w:r>
          </w:p>
        </w:tc>
      </w:tr>
      <w:tr>
        <w:trPr>
          <w:trHeight w:val="228"/>
        </w:trPr>
        <w:tc>
          <w:tcPr>
            <w:tcW w:w="5200" w:type="dxa"/>
            <w:vAlign w:val="bottom"/>
          </w:tcPr>
          <w:p>
            <w:pPr>
              <w:spacing w:after="0"/>
              <w:rPr>
                <w:sz w:val="20"/>
                <w:szCs w:val="20"/>
                <w:color w:val="auto"/>
              </w:rPr>
            </w:pPr>
            <w:r>
              <w:rPr>
                <w:rFonts w:ascii="Arial" w:cs="Arial" w:eastAsia="Arial" w:hAnsi="Arial"/>
                <w:sz w:val="18"/>
                <w:szCs w:val="18"/>
                <w:color w:val="auto"/>
              </w:rPr>
              <w:t>% of net sales</w:t>
            </w:r>
          </w:p>
        </w:tc>
        <w:tc>
          <w:tcPr>
            <w:tcW w:w="560" w:type="dxa"/>
            <w:vAlign w:val="bottom"/>
          </w:tcPr>
          <w:p>
            <w:pPr>
              <w:ind w:left="100"/>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86"/>
              </w:rPr>
              <w:t>11.4%</w:t>
            </w:r>
          </w:p>
        </w:tc>
        <w:tc>
          <w:tcPr>
            <w:tcW w:w="20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86"/>
              </w:rPr>
              <w:t>13.1%</w:t>
            </w:r>
          </w:p>
        </w:tc>
        <w:tc>
          <w:tcPr>
            <w:tcW w:w="22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50"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Selling, general and administrative expenses increased slightly by $1.2 million to $42.4 million in 2010, compared with $41.2 million in 2009. The increase was primarily related to increased employee compensation and benefit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ind w:right="320" w:firstLine="220"/>
        <w:spacing w:after="0" w:line="306" w:lineRule="auto"/>
        <w:rPr>
          <w:sz w:val="20"/>
          <w:szCs w:val="20"/>
          <w:color w:val="auto"/>
        </w:rPr>
      </w:pPr>
      <w:r>
        <w:rPr>
          <w:rFonts w:ascii="Arial" w:cs="Arial" w:eastAsia="Arial" w:hAnsi="Arial"/>
          <w:sz w:val="16"/>
          <w:szCs w:val="16"/>
          <w:color w:val="auto"/>
        </w:rPr>
        <w:t>Selling, general and administrative expenses decreased by $14.0 million to $41.2 million in 2009, compared with $55.2 million in 2008. The decrease was primarily related to reduced compensation costs (due in part, to reduced employee head count), cost reduction programs and to certain U.S. nanoFab costs reported in selling, general and administrative expenses (prior to its commencing production in Q2-08).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55"/>
        </w:trPr>
        <w:tc>
          <w:tcPr>
            <w:tcW w:w="5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rPr>
              <w:t>Percent Change</w:t>
            </w:r>
          </w:p>
        </w:tc>
      </w:tr>
      <w:tr>
        <w:trPr>
          <w:trHeight w:val="228"/>
        </w:trPr>
        <w:tc>
          <w:tcPr>
            <w:tcW w:w="5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2009 to</w:t>
            </w: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2008 to</w:t>
            </w:r>
          </w:p>
        </w:tc>
      </w:tr>
      <w:tr>
        <w:trPr>
          <w:trHeight w:val="251"/>
        </w:trPr>
        <w:tc>
          <w:tcPr>
            <w:tcW w:w="510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1"/>
                <w:szCs w:val="21"/>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r>
      <w:tr>
        <w:trPr>
          <w:trHeight w:val="243"/>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R&amp;D expense</w:t>
            </w: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$14.9</w:t>
            </w:r>
          </w:p>
        </w:tc>
        <w:tc>
          <w:tcPr>
            <w:tcW w:w="2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8"/>
              </w:rPr>
              <w:t>$15.4</w:t>
            </w: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84"/>
              </w:rPr>
              <w:t>$17.5</w:t>
            </w:r>
          </w:p>
        </w:tc>
        <w:tc>
          <w:tcPr>
            <w:tcW w:w="2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w:t>
            </w:r>
          </w:p>
        </w:tc>
      </w:tr>
      <w:tr>
        <w:trPr>
          <w:trHeight w:val="228"/>
        </w:trPr>
        <w:tc>
          <w:tcPr>
            <w:tcW w:w="5100" w:type="dxa"/>
            <w:vAlign w:val="bottom"/>
          </w:tcPr>
          <w:p>
            <w:pPr>
              <w:spacing w:after="0"/>
              <w:rPr>
                <w:sz w:val="20"/>
                <w:szCs w:val="20"/>
                <w:color w:val="auto"/>
              </w:rPr>
            </w:pPr>
            <w:r>
              <w:rPr>
                <w:rFonts w:ascii="Arial" w:cs="Arial" w:eastAsia="Arial" w:hAnsi="Arial"/>
                <w:sz w:val="18"/>
                <w:szCs w:val="18"/>
                <w:color w:val="auto"/>
              </w:rPr>
              <w:t>% of net sales</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50"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decreased by $0.5 million to $14.9 million in 2010, as compared to $15.4 million in 2009. The reduction in research and development expenses in 2010 was primarily due to reduced expenditures in the U.S. Research and development expenses decreased in 2009 as compared to 2008 primarily due to reduced advanced development activity, principally in Asia, as a result of a downturn in the semiconductor industry in fiscal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Consolidation, Restructuring and Related (Credits) Charges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5"/>
        </w:trPr>
        <w:tc>
          <w:tcPr>
            <w:tcW w:w="5980" w:type="dxa"/>
            <w:vAlign w:val="bottom"/>
            <w:tcBorders>
              <w:bottom w:val="single" w:sz="8" w:color="C0C0C0"/>
            </w:tcBorders>
          </w:tcPr>
          <w:p>
            <w:pPr>
              <w:spacing w:after="0"/>
              <w:rPr>
                <w:sz w:val="24"/>
                <w:szCs w:val="24"/>
                <w:color w:val="auto"/>
              </w:rPr>
            </w:pPr>
          </w:p>
        </w:tc>
        <w:tc>
          <w:tcPr>
            <w:tcW w:w="164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Borders>
              <w:bottom w:val="single" w:sz="8" w:color="C0C0C0"/>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2009</w:t>
            </w:r>
          </w:p>
        </w:tc>
      </w:tr>
      <w:tr>
        <w:trPr>
          <w:trHeight w:val="243"/>
        </w:trPr>
        <w:tc>
          <w:tcPr>
            <w:tcW w:w="5980" w:type="dxa"/>
            <w:vAlign w:val="bottom"/>
            <w:shd w:val="clear" w:color="auto" w:fill="C0C0C0"/>
          </w:tcPr>
          <w:p>
            <w:pPr>
              <w:spacing w:after="0"/>
              <w:rPr>
                <w:sz w:val="20"/>
                <w:szCs w:val="20"/>
                <w:color w:val="auto"/>
              </w:rPr>
            </w:pPr>
            <w:r>
              <w:rPr>
                <w:rFonts w:ascii="Arial" w:cs="Arial" w:eastAsia="Arial" w:hAnsi="Arial"/>
                <w:sz w:val="18"/>
                <w:szCs w:val="18"/>
                <w:color w:val="auto"/>
              </w:rPr>
              <w:t>Asset write-downs and other</w:t>
            </w:r>
          </w:p>
        </w:tc>
        <w:tc>
          <w:tcPr>
            <w:tcW w:w="17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w:t>
            </w:r>
          </w:p>
        </w:tc>
      </w:tr>
      <w:tr>
        <w:trPr>
          <w:trHeight w:val="235"/>
        </w:trPr>
        <w:tc>
          <w:tcPr>
            <w:tcW w:w="5980" w:type="dxa"/>
            <w:vAlign w:val="bottom"/>
          </w:tcPr>
          <w:p>
            <w:pPr>
              <w:spacing w:after="0"/>
              <w:rPr>
                <w:sz w:val="20"/>
                <w:szCs w:val="20"/>
                <w:color w:val="auto"/>
              </w:rPr>
            </w:pPr>
            <w:r>
              <w:rPr>
                <w:rFonts w:ascii="Arial" w:cs="Arial" w:eastAsia="Arial" w:hAnsi="Arial"/>
                <w:sz w:val="18"/>
                <w:szCs w:val="18"/>
                <w:color w:val="auto"/>
              </w:rPr>
              <w:t>Net gain on sales of assets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1640" w:type="dxa"/>
            <w:vAlign w:val="bottom"/>
            <w:tcBorders>
              <w:bottom w:val="single" w:sz="8" w:color="C0C0C0"/>
            </w:tcBorders>
            <w:shd w:val="clear" w:color="auto" w:fill="C0C0C0"/>
          </w:tcPr>
          <w:p>
            <w:pPr>
              <w:spacing w:after="0"/>
              <w:rPr>
                <w:sz w:val="23"/>
                <w:szCs w:val="23"/>
                <w:color w:val="auto"/>
              </w:rPr>
            </w:pPr>
          </w:p>
        </w:tc>
        <w:tc>
          <w:tcPr>
            <w:tcW w:w="12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0C0C0"/>
            </w:tcBorders>
            <w:shd w:val="clear" w:color="auto" w:fill="C0C0C0"/>
          </w:tcPr>
          <w:p>
            <w:pPr>
              <w:spacing w:after="0"/>
              <w:rPr>
                <w:sz w:val="23"/>
                <w:szCs w:val="23"/>
                <w:color w:val="auto"/>
              </w:rPr>
            </w:pPr>
          </w:p>
        </w:tc>
        <w:tc>
          <w:tcPr>
            <w:tcW w:w="100" w:type="dxa"/>
            <w:vAlign w:val="bottom"/>
            <w:tcBorders>
              <w:bottom w:val="single" w:sz="8" w:color="auto"/>
            </w:tcBorders>
            <w:shd w:val="clear" w:color="auto" w:fill="C0C0C0"/>
          </w:tcPr>
          <w:p>
            <w:pPr>
              <w:spacing w:after="0"/>
              <w:rPr>
                <w:sz w:val="23"/>
                <w:szCs w:val="23"/>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consolidation, restructuring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8"/>
        </w:trPr>
        <w:tc>
          <w:tcPr>
            <w:tcW w:w="5980" w:type="dxa"/>
            <w:vAlign w:val="bottom"/>
          </w:tcPr>
          <w:p>
            <w:pPr>
              <w:ind w:left="320"/>
              <w:spacing w:after="0"/>
              <w:rPr>
                <w:sz w:val="20"/>
                <w:szCs w:val="20"/>
                <w:color w:val="auto"/>
              </w:rPr>
            </w:pPr>
            <w:r>
              <w:rPr>
                <w:rFonts w:ascii="Arial" w:cs="Arial" w:eastAsia="Arial" w:hAnsi="Arial"/>
                <w:sz w:val="18"/>
                <w:szCs w:val="18"/>
                <w:color w:val="auto"/>
              </w:rPr>
              <w:t>and related (credits) charges</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8"/>
        </w:trPr>
        <w:tc>
          <w:tcPr>
            <w:tcW w:w="5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52" w:lineRule="exact"/>
        <w:rPr>
          <w:sz w:val="20"/>
          <w:szCs w:val="20"/>
          <w:color w:val="auto"/>
        </w:rPr>
      </w:pPr>
    </w:p>
    <w:p>
      <w:pPr>
        <w:jc w:val="both"/>
        <w:ind w:right="120" w:firstLine="270"/>
        <w:spacing w:after="0" w:line="306"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In connection with this restructuring, the Company has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18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which resulted in a gain of $5.4 million, which was recorded as a credit to the restructuring reserve in that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52"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During the first quarter of fiscal 2009, the Company ceased the manufacture of photomasks at its Manchester, U.K., facility and, in connection therewith, incurred total restructuring charges of $3.9 million through its completion in the fourth quarter of fiscal 2009, primarily for employee termination costs and asset write-downs. This initiative began in the fourth quarter of fiscal 2008 with the recording of a $0.5 million charge for the impairment of certain long-loved assets located at the facility. Approximately 85 employees were affected by this restructuring.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3" w:name="page24"/>
    <w:bookmarkEnd w:id="23"/>
    <w:p>
      <w:pPr>
        <w:ind w:right="220" w:firstLine="220"/>
        <w:spacing w:after="0" w:line="306" w:lineRule="auto"/>
        <w:rPr>
          <w:sz w:val="20"/>
          <w:szCs w:val="20"/>
          <w:color w:val="auto"/>
        </w:rPr>
      </w:pPr>
      <w:r>
        <w:rPr>
          <w:rFonts w:ascii="Arial" w:cs="Arial" w:eastAsia="Arial" w:hAnsi="Arial"/>
          <w:sz w:val="16"/>
          <w:szCs w:val="16"/>
          <w:color w:val="auto"/>
        </w:rPr>
        <w:t>The Company continues to assess its global manufacturing strategy, as its sales volume is dependent upon customer requirements which have become more concentrated in Asia and, to a lesser extent, in the U.S. This ongoing assessment could result in future facility closures, asset redeployments, workforce reductions, and the addition of increased manufacturing facilities, all of which would be predicated on market conditions and customer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the second quarter of fiscal 2009, the Company recorded an impairment charge of $1.5 million to reduce the carrying value of its Manchester, U.K., facility to its estimated fair value, which was determined by management using a market approach.</w:t>
      </w:r>
    </w:p>
    <w:p>
      <w:pPr>
        <w:spacing w:after="0" w:line="213" w:lineRule="exact"/>
        <w:rPr>
          <w:sz w:val="20"/>
          <w:szCs w:val="20"/>
          <w:color w:val="auto"/>
        </w:rPr>
      </w:pPr>
    </w:p>
    <w:p>
      <w:pPr>
        <w:ind w:right="180" w:firstLine="270"/>
        <w:spacing w:after="0" w:line="256" w:lineRule="auto"/>
        <w:rPr>
          <w:sz w:val="20"/>
          <w:szCs w:val="20"/>
          <w:color w:val="auto"/>
        </w:rPr>
      </w:pPr>
      <w:r>
        <w:rPr>
          <w:rFonts w:ascii="Arial" w:cs="Arial" w:eastAsia="Arial" w:hAnsi="Arial"/>
          <w:sz w:val="18"/>
          <w:szCs w:val="18"/>
          <w:color w:val="auto"/>
        </w:rPr>
        <w:t>As a result of the Company's projected undiscounted future cash flows related to certain of its asset groups (located in Europe and Asia) being less than the carrying value of those assets, the Company recorded an impairment charge of $66.9 million in the third quarter of fiscal 2008. The carrying value of the assets determined to be impaired were reduced to their estimated fair values, which were determined based upon market conditions and the income approach which utilized cash flow projections.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52"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Through the third quarter of fiscal 2008, the Company experienced a sustained, significant decline in its stock price. As a result of the decline in its stock price, the Company's market capitalization fell significantly below the recorded value of its consolidated net assets during the third quarter of fiscal 2008. Due to the decrease in its market capitalization and quarterly net losses incurred through the third quarter of fiscal 2008, management tested the Company's goodwill for impairment. The results of the test indicated that there would be no remaining implied value attributable to the Company's goodwill and, accordingly, the Company wrote off all $138.5 million of its goodwill in fiscal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Facility</w:t>
      </w:r>
    </w:p>
    <w:p>
      <w:pPr>
        <w:spacing w:after="0" w:line="252" w:lineRule="exact"/>
        <w:rPr>
          <w:sz w:val="20"/>
          <w:szCs w:val="20"/>
          <w:color w:val="auto"/>
        </w:rPr>
      </w:pPr>
    </w:p>
    <w:p>
      <w:pPr>
        <w:ind w:right="500" w:firstLine="270"/>
        <w:spacing w:after="0" w:line="268" w:lineRule="auto"/>
        <w:rPr>
          <w:sz w:val="20"/>
          <w:szCs w:val="20"/>
          <w:color w:val="auto"/>
        </w:rPr>
      </w:pPr>
      <w:r>
        <w:rPr>
          <w:rFonts w:ascii="Arial" w:cs="Arial" w:eastAsia="Arial" w:hAnsi="Arial"/>
          <w:sz w:val="18"/>
          <w:szCs w:val="18"/>
          <w:color w:val="auto"/>
        </w:rPr>
        <w:t>In connection with the closing of its Manchester, U.K., manufacturing facility in the first quarter of fiscal 2009, the Company sold that facility for $4.3 million in the fourth quarter of fiscal 2009, and realized a gain of $2.0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2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
        </w:trPr>
        <w:tc>
          <w:tcPr>
            <w:tcW w:w="692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20" w:type="dxa"/>
            <w:vAlign w:val="bottom"/>
            <w:vMerge w:val="continue"/>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(22.4)</w:t>
            </w:r>
          </w:p>
        </w:tc>
        <w:tc>
          <w:tcPr>
            <w:tcW w:w="120" w:type="dxa"/>
            <w:vAlign w:val="bottom"/>
            <w:shd w:val="clear" w:color="auto" w:fill="C0C0C0"/>
          </w:tcPr>
          <w:p>
            <w:pPr>
              <w:spacing w:after="0"/>
              <w:rPr>
                <w:sz w:val="21"/>
                <w:szCs w:val="21"/>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(11.9)</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Investment and other income (expense), net</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2"/>
        </w:trPr>
        <w:tc>
          <w:tcPr>
            <w:tcW w:w="6920" w:type="dxa"/>
            <w:vAlign w:val="bottom"/>
            <w:shd w:val="clear" w:color="auto" w:fill="C0C0C0"/>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(24.6)</w:t>
            </w:r>
          </w:p>
        </w:tc>
        <w:tc>
          <w:tcPr>
            <w:tcW w:w="120" w:type="dxa"/>
            <w:vAlign w:val="bottom"/>
            <w:shd w:val="clear" w:color="auto" w:fill="C0C0C0"/>
          </w:tcPr>
          <w:p>
            <w:pPr>
              <w:spacing w:after="0"/>
              <w:rPr>
                <w:sz w:val="21"/>
                <w:szCs w:val="21"/>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8"/>
        </w:trPr>
        <w:tc>
          <w:tcPr>
            <w:tcW w:w="69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0" w:firstLine="270"/>
        <w:spacing w:after="0" w:line="290" w:lineRule="auto"/>
        <w:rPr>
          <w:sz w:val="20"/>
          <w:szCs w:val="20"/>
          <w:color w:val="auto"/>
        </w:rPr>
      </w:pPr>
      <w:r>
        <w:rPr>
          <w:rFonts w:ascii="Arial" w:cs="Arial" w:eastAsia="Arial" w:hAnsi="Arial"/>
          <w:sz w:val="16"/>
          <w:szCs w:val="16"/>
          <w:color w:val="auto"/>
        </w:rPr>
        <w:t>Interest expense decreased in 2010 as compared to 2009, primarily as a result of lower debt levels and lower average interest rates on the Company's long-term borrowings. In addition, the Company incurred significantly higher amortization of deferred financing fees in 2009 that were related to amendments to its credit facility. Interest expense includes $1.0 million in 2010 and $2.9 million in 2009 related to the write-off of deferred financing fees in connection with amendments to the Company’s credit facility. The outstanding balance of the Company's variable rate debt and related higher interest costs were reduced substantially during the fourth quarter of fiscal 2009, with net proceeds from its common stock and convertible debt offerings. Investment and other income (expense), net, increased in 2010 as compared to 2009, primarily due to improved f oreign currency transaction results, which were offset, in part, by a $0.6 million increase in non-cash losses recorded to adjust certain common stock warrants to their fair value.</w:t>
      </w:r>
    </w:p>
    <w:p>
      <w:pPr>
        <w:spacing w:after="0" w:line="199"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Interest expense increased in 2009 as compared to 2008 due to increased interest rates associated with increased borrowings on the Company's revolving credit facility coupled with higher interest rates and fees associated with loan amendments in fiscal 2009. Investment and other income (expense), net decreased in 2009 as compared to 2008, primarily due to less favorable foreign currency transaction results.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 Benefit</w:t>
            </w: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5"/>
        </w:trPr>
        <w:tc>
          <w:tcPr>
            <w:tcW w:w="458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4"/>
                <w:szCs w:val="2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2008</w:t>
            </w:r>
          </w:p>
        </w:tc>
      </w:tr>
      <w:tr>
        <w:trPr>
          <w:trHeight w:val="243"/>
        </w:trPr>
        <w:tc>
          <w:tcPr>
            <w:tcW w:w="458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 benefit</w:t>
            </w:r>
          </w:p>
        </w:tc>
        <w:tc>
          <w:tcPr>
            <w:tcW w:w="29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(7.5)</w:t>
            </w: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6"/>
              </w:rPr>
              <w:t>$ (4.3)</w:t>
            </w:r>
          </w:p>
        </w:tc>
        <w:tc>
          <w:tcPr>
            <w:tcW w:w="7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$2.8</w:t>
            </w:r>
          </w:p>
        </w:tc>
      </w:tr>
      <w:tr>
        <w:trPr>
          <w:trHeight w:val="228"/>
        </w:trPr>
        <w:tc>
          <w:tcPr>
            <w:tcW w:w="45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223"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The effective income tax rate differs from the U.S. statutory rate of 35% in 2010 primarily due to tax rates being lower than the U.S. rate in other countries where the Company’s income is taxed. In 2009, the effective income tax rate differed from the U.S. statutory rate because income tax expenses incurred in jurisdictions where the Company generated income before income taxes were, due to valuation allowances, not significantly offset by income tax benefits realized in jurisdictions in which the Company incurred losses before income taxes. The Company, in 2010 and 2009, also benefitted from the utilization of various investment tax credits in Korea and Taiwan.</w:t>
      </w:r>
    </w:p>
    <w:p>
      <w:pPr>
        <w:spacing w:after="0" w:line="224" w:lineRule="exact"/>
        <w:rPr>
          <w:sz w:val="20"/>
          <w:szCs w:val="20"/>
          <w:color w:val="auto"/>
        </w:rPr>
      </w:pPr>
    </w:p>
    <w:p>
      <w:pPr>
        <w:ind w:right="60" w:firstLine="270"/>
        <w:spacing w:after="0" w:line="323" w:lineRule="auto"/>
        <w:rPr>
          <w:sz w:val="20"/>
          <w:szCs w:val="20"/>
          <w:color w:val="auto"/>
        </w:rPr>
      </w:pPr>
      <w:r>
        <w:rPr>
          <w:rFonts w:ascii="Arial" w:cs="Arial" w:eastAsia="Arial" w:hAnsi="Arial"/>
          <w:sz w:val="15"/>
          <w:szCs w:val="15"/>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reduces its deferred tax assets by a valuation allowance. As a result of these evaluations, the valuation allowance was increased by $3.4 million and $6.6 million in 2010 and 2009, respectively. The Company also regularly assesses the potential outcomes of ongoing and future examinations and, accordingly, has recorded accruals for such contingencies.</w:t>
      </w:r>
    </w:p>
    <w:p>
      <w:pPr>
        <w:spacing w:after="0" w:line="179" w:lineRule="exact"/>
        <w:rPr>
          <w:sz w:val="20"/>
          <w:szCs w:val="20"/>
          <w:color w:val="auto"/>
        </w:rPr>
      </w:pPr>
    </w:p>
    <w:p>
      <w:pPr>
        <w:ind w:right="140" w:firstLine="270"/>
        <w:spacing w:after="0" w:line="294" w:lineRule="auto"/>
        <w:rPr>
          <w:sz w:val="20"/>
          <w:szCs w:val="20"/>
          <w:color w:val="auto"/>
        </w:rPr>
      </w:pPr>
      <w:r>
        <w:rPr>
          <w:rFonts w:ascii="Arial" w:cs="Arial" w:eastAsia="Arial" w:hAnsi="Arial"/>
          <w:sz w:val="16"/>
          <w:szCs w:val="16"/>
          <w:color w:val="auto"/>
        </w:rPr>
        <w:t>PKLT, the Company's FPD manufacturing facility in Taiwan, has been accorded a tax holiday which starts in 2012 and expires in 2017. In addition, the Company has been accorded a tax holiday in China which expires in 2011. The availability of these tax holidays did not have a significant impact on the Company's decision to increase its Asian presence, which was in response to fundamental changes that took place in the semiconductor industry that the Company serves. These tax holidays had no dollar or per share effect on the 2010, 2009 or 2008 fiscal years. As semiconductor fabrication has migrated to Asia, in large part from the United States, the Company has followed, in order to avoid a severe loss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252"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Net income attributable to noncontrolling interests (formerly referred to as "minority interests") increased $0.7 million to $1.2 million in 2010 as compared to 2009, primarily as a result of increased net income at the Company's non-wholly owned subsidiary in Taiwan. The Company's ownership in its subsidiary in Taiwan was approximately 58% at October 31, 2010 and November 1, 2009, and its ownership in its subsidiary in Korea was approximately 99.7% at October 31, 2010 and November 1, 2009.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46"/>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November 1,</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November 2,</w:t>
            </w:r>
          </w:p>
        </w:tc>
        <w:tc>
          <w:tcPr>
            <w:tcW w:w="2300" w:type="dxa"/>
            <w:vAlign w:val="bottom"/>
          </w:tcPr>
          <w:p>
            <w:pPr>
              <w:spacing w:after="0"/>
              <w:rPr>
                <w:sz w:val="24"/>
                <w:szCs w:val="24"/>
                <w:color w:val="auto"/>
              </w:rPr>
            </w:pPr>
          </w:p>
        </w:tc>
      </w:tr>
      <w:tr>
        <w:trPr>
          <w:trHeight w:val="252"/>
        </w:trPr>
        <w:tc>
          <w:tcPr>
            <w:tcW w:w="5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2008</w:t>
            </w:r>
          </w:p>
        </w:tc>
        <w:tc>
          <w:tcPr>
            <w:tcW w:w="2300" w:type="dxa"/>
            <w:vAlign w:val="bottom"/>
          </w:tcPr>
          <w:p>
            <w:pPr>
              <w:spacing w:after="0"/>
              <w:rPr>
                <w:sz w:val="21"/>
                <w:szCs w:val="21"/>
                <w:color w:val="auto"/>
              </w:rPr>
            </w:pPr>
          </w:p>
        </w:tc>
      </w:tr>
      <w:tr>
        <w:trPr>
          <w:trHeight w:val="235"/>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i w:val="1"/>
                <w:iCs w:val="1"/>
                <w:color w:val="auto"/>
                <w:w w:val="94"/>
              </w:rPr>
              <w:t>(in millions)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6"/>
              </w:rPr>
              <w:t>(in millions)</w:t>
            </w:r>
          </w:p>
        </w:tc>
        <w:tc>
          <w:tcPr>
            <w:tcW w:w="100" w:type="dxa"/>
            <w:vAlign w:val="bottom"/>
          </w:tcPr>
          <w:p>
            <w:pPr>
              <w:spacing w:after="0"/>
              <w:rPr>
                <w:sz w:val="20"/>
                <w:szCs w:val="20"/>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i w:val="1"/>
                <w:iCs w:val="1"/>
                <w:color w:val="auto"/>
                <w:w w:val="94"/>
              </w:rPr>
              <w:t>(in millions)</w:t>
            </w:r>
          </w:p>
        </w:tc>
        <w:tc>
          <w:tcPr>
            <w:tcW w:w="2300" w:type="dxa"/>
            <w:vAlign w:val="bottom"/>
          </w:tcPr>
          <w:p>
            <w:pPr>
              <w:spacing w:after="0"/>
              <w:rPr>
                <w:sz w:val="20"/>
                <w:szCs w:val="20"/>
                <w:color w:val="auto"/>
              </w:rPr>
            </w:pPr>
          </w:p>
        </w:tc>
      </w:tr>
      <w:tr>
        <w:trPr>
          <w:trHeight w:val="251"/>
        </w:trPr>
        <w:tc>
          <w:tcPr>
            <w:tcW w:w="53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98.9</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83.8</w:t>
            </w:r>
          </w:p>
        </w:tc>
        <w:tc>
          <w:tcPr>
            <w:tcW w:w="2300" w:type="dxa"/>
            <w:vAlign w:val="bottom"/>
          </w:tcPr>
          <w:p>
            <w:pPr>
              <w:spacing w:after="0"/>
              <w:rPr>
                <w:sz w:val="21"/>
                <w:szCs w:val="21"/>
                <w:color w:val="auto"/>
              </w:rPr>
            </w:pPr>
          </w:p>
        </w:tc>
      </w:tr>
      <w:tr>
        <w:trPr>
          <w:trHeight w:val="237"/>
        </w:trPr>
        <w:tc>
          <w:tcPr>
            <w:tcW w:w="53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300" w:type="dxa"/>
            <w:vAlign w:val="bottom"/>
          </w:tcPr>
          <w:p>
            <w:pPr>
              <w:spacing w:after="0"/>
              <w:rPr>
                <w:sz w:val="20"/>
                <w:szCs w:val="20"/>
                <w:color w:val="auto"/>
              </w:rPr>
            </w:pPr>
          </w:p>
        </w:tc>
      </w:tr>
      <w:tr>
        <w:trPr>
          <w:trHeight w:val="262"/>
        </w:trPr>
        <w:tc>
          <w:tcPr>
            <w:tcW w:w="5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98.9</w:t>
            </w:r>
          </w:p>
        </w:tc>
        <w:tc>
          <w:tcPr>
            <w:tcW w:w="20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85.1</w:t>
            </w:r>
          </w:p>
        </w:tc>
        <w:tc>
          <w:tcPr>
            <w:tcW w:w="2300" w:type="dxa"/>
            <w:vAlign w:val="bottom"/>
          </w:tcPr>
          <w:p>
            <w:pPr>
              <w:spacing w:after="0"/>
              <w:rPr>
                <w:sz w:val="22"/>
                <w:szCs w:val="22"/>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92.1</w:t>
            </w:r>
          </w:p>
        </w:tc>
        <w:tc>
          <w:tcPr>
            <w:tcW w:w="2300" w:type="dxa"/>
            <w:vAlign w:val="bottom"/>
          </w:tcPr>
          <w:p>
            <w:pPr>
              <w:spacing w:after="0"/>
              <w:rPr>
                <w:sz w:val="19"/>
                <w:szCs w:val="19"/>
                <w:color w:val="auto"/>
              </w:rPr>
            </w:pPr>
          </w:p>
        </w:tc>
      </w:tr>
      <w:tr>
        <w:trPr>
          <w:trHeight w:val="251"/>
        </w:trPr>
        <w:tc>
          <w:tcPr>
            <w:tcW w:w="538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(58.2)</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(99.2)</w:t>
            </w:r>
          </w:p>
        </w:tc>
        <w:tc>
          <w:tcPr>
            <w:tcW w:w="2300" w:type="dxa"/>
            <w:vAlign w:val="bottom"/>
          </w:tcPr>
          <w:p>
            <w:pPr>
              <w:spacing w:after="0"/>
              <w:rPr>
                <w:sz w:val="21"/>
                <w:szCs w:val="21"/>
                <w:color w:val="auto"/>
              </w:rPr>
            </w:pPr>
          </w:p>
        </w:tc>
      </w:tr>
      <w:tr>
        <w:trPr>
          <w:trHeight w:val="228"/>
        </w:trPr>
        <w:tc>
          <w:tcPr>
            <w:tcW w:w="53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2300" w:type="dxa"/>
            <w:vAlign w:val="bottom"/>
          </w:tcPr>
          <w:p>
            <w:pPr>
              <w:spacing w:after="0"/>
              <w:rPr>
                <w:sz w:val="19"/>
                <w:szCs w:val="19"/>
                <w:color w:val="auto"/>
              </w:rPr>
            </w:pPr>
          </w:p>
        </w:tc>
      </w:tr>
      <w:tr>
        <w:trPr>
          <w:trHeight w:val="446"/>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3"/>
        </w:trPr>
        <w:tc>
          <w:tcPr>
            <w:tcW w:w="5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25" w:name="page26"/>
    <w:bookmarkEnd w:id="25"/>
    <w:p>
      <w:pPr>
        <w:ind w:right="220" w:firstLine="220"/>
        <w:spacing w:after="0" w:line="298" w:lineRule="auto"/>
        <w:rPr>
          <w:sz w:val="20"/>
          <w:szCs w:val="20"/>
          <w:color w:val="auto"/>
        </w:rPr>
      </w:pPr>
      <w:r>
        <w:rPr>
          <w:rFonts w:ascii="Arial" w:cs="Arial" w:eastAsia="Arial" w:hAnsi="Arial"/>
          <w:sz w:val="16"/>
          <w:szCs w:val="16"/>
          <w:color w:val="auto"/>
        </w:rPr>
        <w:t>As of October 31, 2010, the Company had cash and cash equivalents of $98.9 million compared to $88.7 million (including $0.2 million of short-term investments) as of November 1, 2009. The Company's working capital decreased $2.9 million to $86.6 million at the end of fiscal 2010, as compared to $89.5 million at the end of fiscal 2009. The decrease was primarily related to increases in accounts payable and accrued expenses, totaling $27.6 million, which were somewhat mitigated by an increase in cash and cash equivalents and accounts receivable totaling $26.4 million.</w:t>
      </w:r>
    </w:p>
    <w:p>
      <w:pPr>
        <w:spacing w:after="0" w:line="194" w:lineRule="exact"/>
        <w:rPr>
          <w:sz w:val="20"/>
          <w:szCs w:val="20"/>
          <w:color w:val="auto"/>
        </w:rPr>
      </w:pPr>
    </w:p>
    <w:p>
      <w:pPr>
        <w:ind w:right="140" w:firstLine="270"/>
        <w:spacing w:after="0" w:line="306" w:lineRule="auto"/>
        <w:rPr>
          <w:sz w:val="20"/>
          <w:szCs w:val="20"/>
          <w:color w:val="auto"/>
        </w:rPr>
      </w:pPr>
      <w:r>
        <w:rPr>
          <w:rFonts w:ascii="Arial" w:cs="Arial" w:eastAsia="Arial" w:hAnsi="Arial"/>
          <w:sz w:val="16"/>
          <w:szCs w:val="16"/>
          <w:color w:val="auto"/>
        </w:rPr>
        <w:t>Cash provided by operating activities was $95.9 million for fiscal 2010, as compared to $68.1 million for fiscal 2009. This increase was primarily due to the Company's improved operating results in fiscal 2010 as a result of increased sales. Cash provided by operating activities was $68.1 million for fiscal 2009, as compared to $92.1 million for fiscal 2008. This decrease was primarily due to increased losses as a result of reduced sales.</w:t>
      </w:r>
    </w:p>
    <w:p>
      <w:pPr>
        <w:spacing w:after="0" w:line="18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Cash used in investing activities in fiscal 2010 increased to $58.2 million, as compared to $24.7 million in 2009, primarily due to capital expenditures increasing year-over-year by $36.4 million. The year-over-year increase in capital expenditures reflects the Company's increased investment in equipment capable of high-end semiconductor photomask fabrication. The majority of capital expenditure investments were made in the U.S. and Asia. Capital expenditures for the 2010, 2009, and 2008 fiscal years were $71.4 million, $35.0 million and $105.1 million, respectively. The Company expects capital expenditure payments for fiscal 2011 to be approximately $70 million to $90 million, primarily related to investment in high-end IC manufacturing capability. The high level of capital expenditures in fiscal 2008 primarily reflects the equipping of the U.S. nanoFab, w hich began production in 2008.</w:t>
      </w:r>
    </w:p>
    <w:p>
      <w:pPr>
        <w:spacing w:after="0" w:line="201"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Cash used in financing activities was $32.5 million in fiscal 2010, a decrease of $8.0 million from the $40.5 million used in fiscal 2009, and is primarily comprised of $31.3 million in net repayments of long-term borrowings. These repayments were primarily made with cash generated by operations. Cash used in financing activities was $40.5 million in fiscal 2009, a decrease of $7.2 million, as compared to $47.7 million in fiscal 2008, and is primarily comprised of $133.7 million in net repayments of long-term borrowings. These repayments were primarily made with $98 million in net proceeds from convertible debt and common stock offerings, with cash generated by operations of $18 million and proceeds from the sale of the Manchester facility of $4.3 million. The decrease in cash used in financing activities in 2009 was primarily attributable to the decrease i n the Company's payments to Micron.</w:t>
      </w:r>
    </w:p>
    <w:p>
      <w:pPr>
        <w:spacing w:after="0" w:line="201"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On February 12, 2010, the Company amended its revolving credit facility, which was originally established on June 6, 2007, to a three-year $50 million revolving credit facility ("the credit facility"). At the time of the February 12, 2010, amendment, the then existing revolving credit facility and term loan were repaid in full with borrowings from the credit facility of $20.8 million and, in connection therewith, the Company wrote off $1.0 million of deferred financing fees. On May 7, 2010, the credit facility was further amended to increase its borrowing capacity to $65 million. The credit facility bears interest (3.81% at October 31, 2010) at LIBOR plus a spread, as defined in the agreement, based upon the Company's total leverage ratio. As of October 31, 2010, the Company had $5 million in outstanding borrowings under the credit facility and $60 million was available for borrowing. On January 5, 2011, a $10 million irrevocable stand-by letter of credit, for the purchase of manufacturing equipment, was issued under the Company's revolving credit facility.</w:t>
      </w:r>
    </w:p>
    <w:p>
      <w:pPr>
        <w:spacing w:after="0" w:line="199" w:lineRule="exact"/>
        <w:rPr>
          <w:sz w:val="20"/>
          <w:szCs w:val="20"/>
          <w:color w:val="auto"/>
        </w:rPr>
      </w:pPr>
    </w:p>
    <w:p>
      <w:pPr>
        <w:ind w:right="10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is subject to the following financial covenants: fixed charge coverage ratio, total leverage ratio, minimum unrestricted cash balance, and maximum capital expenditures, all as defined in the agreement.</w:t>
      </w:r>
    </w:p>
    <w:p>
      <w:pPr>
        <w:spacing w:after="0" w:line="188"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In May 2009, the Company amended its then existing revolving credit facility and entered into a warrant agreement with its lenders for 2.1 million shares of its common stock. Forty percent of the warrants were exercisable upon issuance while the remaining warrants were cancelled as a result of the Company's September 2009 early repayment of a portion of the outstanding balance under its June 6, 2007 credit agreement. As of October 31, 2010, approximately 0.5 million warrants have been exercised, including 0.4 million of which were exercised during fiscal 2010. The warrants, approximately 0.3 million of which remained outstanding at October 31, 2010, are exercisable for one share of the Company's common stock at an exercise price of $.01 per share. The warrant agreement also included a net cash settleable put provision exercisable starting in May 2012 and a call provision exercisable starting in May 2013, both of which were exercisable only if the Company's common stock was not traded on a national exchange. As a result of the aforementioned net cash settleable put provision, the warrants were initially recorded as a liability (included in other liabilities) and have been subsequently reported at their fair value.</w:t>
      </w:r>
    </w:p>
    <w:p>
      <w:pPr>
        <w:spacing w:after="0" w:line="199" w:lineRule="exact"/>
        <w:rPr>
          <w:sz w:val="20"/>
          <w:szCs w:val="20"/>
          <w:color w:val="auto"/>
        </w:rPr>
      </w:pPr>
    </w:p>
    <w:p>
      <w:pPr>
        <w:ind w:right="900" w:firstLine="270"/>
        <w:spacing w:after="0" w:line="268" w:lineRule="auto"/>
        <w:rPr>
          <w:sz w:val="20"/>
          <w:szCs w:val="20"/>
          <w:color w:val="auto"/>
        </w:rPr>
      </w:pPr>
      <w:r>
        <w:rPr>
          <w:rFonts w:ascii="Arial" w:cs="Arial" w:eastAsia="Arial" w:hAnsi="Arial"/>
          <w:sz w:val="18"/>
          <w:szCs w:val="18"/>
          <w:color w:val="auto"/>
        </w:rPr>
        <w:t>In addition to the former credit facility discussed above, the Company also entered into a term loan agreement on June 8, 2009, with an aggregate commitment of $27.2 million. This loan was repaid in February 2010 with funds from the credit facility.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6" w:name="page27"/>
    <w:bookmarkEnd w:id="26"/>
    <w:p>
      <w:pPr>
        <w:ind w:firstLine="220"/>
        <w:spacing w:after="0" w:line="254" w:lineRule="auto"/>
        <w:rPr>
          <w:sz w:val="20"/>
          <w:szCs w:val="20"/>
          <w:color w:val="auto"/>
        </w:rPr>
      </w:pPr>
      <w:r>
        <w:rPr>
          <w:rFonts w:ascii="Arial" w:cs="Arial" w:eastAsia="Arial" w:hAnsi="Arial"/>
          <w:sz w:val="18"/>
          <w:szCs w:val="18"/>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 which were used to reduce outstanding amounts under the Company's then existing credit facility.</w:t>
      </w:r>
    </w:p>
    <w:p>
      <w:pPr>
        <w:spacing w:after="0" w:line="22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 ilable to it on commercially favorable terms, should its cash requirements exceed cash available from operations, existing cash, and cash available under its credit facility.</w:t>
      </w:r>
    </w:p>
    <w:p>
      <w:pPr>
        <w:spacing w:after="0" w:line="199" w:lineRule="exact"/>
        <w:rPr>
          <w:sz w:val="20"/>
          <w:szCs w:val="20"/>
          <w:color w:val="auto"/>
        </w:rPr>
      </w:pPr>
    </w:p>
    <w:p>
      <w:pPr>
        <w:ind w:right="320" w:firstLine="270"/>
        <w:spacing w:after="0" w:line="306" w:lineRule="auto"/>
        <w:rPr>
          <w:sz w:val="20"/>
          <w:szCs w:val="20"/>
          <w:color w:val="auto"/>
        </w:rPr>
      </w:pPr>
      <w:r>
        <w:rPr>
          <w:rFonts w:ascii="Arial" w:cs="Arial" w:eastAsia="Arial" w:hAnsi="Arial"/>
          <w:sz w:val="16"/>
          <w:szCs w:val="16"/>
          <w:color w:val="auto"/>
        </w:rPr>
        <w:t>At October 31, 2010, the Company had outstanding purchase commitments of approximately $63.8 million, which include approximately $55.4 million related to capital expenditures, primarily for investment in high-end IC photomask manufacturing capability. The Company intends to use its working capital, cash generated from operations, and borrowings under its credit facility, if necessary, to finance its capital expenditures.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8" w:lineRule="exact"/>
        <w:rPr>
          <w:sz w:val="20"/>
          <w:szCs w:val="20"/>
          <w:color w:val="auto"/>
        </w:rPr>
      </w:pPr>
    </w:p>
    <w:p>
      <w:pPr>
        <w:jc w:val="both"/>
        <w:ind w:right="20" w:firstLine="270"/>
        <w:spacing w:after="0" w:line="303" w:lineRule="auto"/>
        <w:rPr>
          <w:sz w:val="20"/>
          <w:szCs w:val="20"/>
          <w:color w:val="auto"/>
        </w:rPr>
      </w:pPr>
      <w:r>
        <w:rPr>
          <w:rFonts w:ascii="Arial" w:cs="Arial" w:eastAsia="Arial" w:hAnsi="Arial"/>
          <w:sz w:val="15"/>
          <w:szCs w:val="15"/>
          <w:color w:val="auto"/>
        </w:rPr>
        <w:t>The Company's cash requirements in fiscal 2011 will be primarily to fund operations, including capital spending and debt service. The Company believes that its cash on hand, cash generated from operations and amounts available under its credit facility will be sufficient to meet its cash requirements for the next twelve months. The Company regularly reviews the availability and terms on which it might issue additional equity or debt securities in the public or private markets.</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However, the Company cannot assure that additional sources of financing would be available to the Company on commercially favorable terms, should the Company's cash requirements exceed its cash available from operations, existing cash, and cash available under its credit facility.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20"/>
                <w:szCs w:val="20"/>
                <w:color w:val="auto"/>
              </w:rPr>
            </w:pPr>
            <w:r>
              <w:rPr>
                <w:rFonts w:ascii="Arial" w:cs="Arial" w:eastAsia="Arial" w:hAnsi="Arial"/>
                <w:sz w:val="18"/>
                <w:szCs w:val="18"/>
                <w:b w:val="1"/>
                <w:bCs w:val="1"/>
                <w:color w:val="auto"/>
              </w:rPr>
              <w:t>Contractual Cash Obligations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7720" w:type="dxa"/>
            <w:vAlign w:val="bottom"/>
            <w:gridSpan w:val="12"/>
          </w:tcPr>
          <w:p>
            <w:pPr>
              <w:ind w:left="220"/>
              <w:spacing w:after="0"/>
              <w:rPr>
                <w:sz w:val="20"/>
                <w:szCs w:val="20"/>
                <w:color w:val="auto"/>
              </w:rPr>
            </w:pPr>
            <w:r>
              <w:rPr>
                <w:rFonts w:ascii="Arial" w:cs="Arial" w:eastAsia="Arial" w:hAnsi="Arial"/>
                <w:sz w:val="18"/>
                <w:szCs w:val="18"/>
                <w:color w:val="auto"/>
                <w:w w:val="96"/>
              </w:rPr>
              <w:t>The following table presents the Company's future contractual obligations as of October 31, 2010: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5"/>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left="412"/>
              <w:spacing w:after="0"/>
              <w:rPr>
                <w:sz w:val="20"/>
                <w:szCs w:val="20"/>
                <w:color w:val="auto"/>
              </w:rPr>
            </w:pPr>
            <w:r>
              <w:rPr>
                <w:rFonts w:ascii="Arial" w:cs="Arial" w:eastAsia="Arial" w:hAnsi="Arial"/>
                <w:sz w:val="18"/>
                <w:szCs w:val="18"/>
                <w:b w:val="1"/>
                <w:bCs w:val="1"/>
                <w:color w:val="auto"/>
                <w:w w:val="87"/>
              </w:rPr>
              <w:t>Payments Due</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Less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2"/>
              </w:rPr>
              <w:t>More</w:t>
            </w:r>
          </w:p>
        </w:tc>
        <w:tc>
          <w:tcPr>
            <w:tcW w:w="20" w:type="dxa"/>
            <w:vAlign w:val="bottom"/>
          </w:tcPr>
          <w:p>
            <w:pPr>
              <w:spacing w:after="0"/>
              <w:rPr>
                <w:sz w:val="19"/>
                <w:szCs w:val="19"/>
                <w:color w:val="auto"/>
              </w:rPr>
            </w:pPr>
          </w:p>
        </w:tc>
      </w:tr>
      <w:tr>
        <w:trPr>
          <w:trHeight w:val="242"/>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Than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8"/>
              </w:rPr>
              <w:t>1 - 3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3 - 5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Than</w:t>
            </w:r>
          </w:p>
        </w:tc>
      </w:tr>
      <w:tr>
        <w:trPr>
          <w:trHeight w:val="252"/>
        </w:trPr>
        <w:tc>
          <w:tcPr>
            <w:tcW w:w="52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Borders>
              <w:bottom w:val="single" w:sz="8" w:color="C0C0C0"/>
            </w:tcBorders>
          </w:tcPr>
          <w:p>
            <w:pPr>
              <w:spacing w:after="0"/>
              <w:rPr>
                <w:sz w:val="21"/>
                <w:szCs w:val="21"/>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5 Years</w:t>
            </w:r>
          </w:p>
        </w:tc>
        <w:tc>
          <w:tcPr>
            <w:tcW w:w="20" w:type="dxa"/>
            <w:vAlign w:val="bottom"/>
          </w:tcPr>
          <w:p>
            <w:pPr>
              <w:spacing w:after="0"/>
              <w:rPr>
                <w:sz w:val="21"/>
                <w:szCs w:val="21"/>
                <w:color w:val="auto"/>
              </w:rPr>
            </w:pPr>
          </w:p>
        </w:tc>
      </w:tr>
      <w:tr>
        <w:trPr>
          <w:trHeight w:val="243"/>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62.5</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51"/>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Capital leases</w:t>
            </w: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shd w:val="clear" w:color="auto" w:fill="C0C0C0"/>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8"/>
        </w:trPr>
        <w:tc>
          <w:tcPr>
            <w:tcW w:w="5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ind w:right="20" w:firstLine="270"/>
        <w:spacing w:after="0" w:line="306" w:lineRule="auto"/>
        <w:rPr>
          <w:sz w:val="20"/>
          <w:szCs w:val="20"/>
          <w:color w:val="auto"/>
        </w:rPr>
      </w:pPr>
      <w:r>
        <w:rPr>
          <w:rFonts w:ascii="Arial" w:cs="Arial" w:eastAsia="Arial" w:hAnsi="Arial"/>
          <w:sz w:val="16"/>
          <w:szCs w:val="16"/>
          <w:color w:val="auto"/>
        </w:rPr>
        <w:t>As of October 31, 2010, the Company had an outstanding balance of $3.0 (net of future interest of $0.3 million) million for a loan from a customer which was not included in the above table. The proceeds of the loan were used to purchase manufacturing equipment. This loan is expected to be repaid with product supplied to the customer, typically on a monthly basis, and the Company estimates that the loan will be fully repaid in fiscal 2014.</w:t>
      </w:r>
    </w:p>
    <w:p>
      <w:pPr>
        <w:spacing w:after="0" w:line="188" w:lineRule="exact"/>
        <w:rPr>
          <w:sz w:val="20"/>
          <w:szCs w:val="20"/>
          <w:color w:val="auto"/>
        </w:rPr>
      </w:pPr>
    </w:p>
    <w:p>
      <w:pPr>
        <w:jc w:val="both"/>
        <w:ind w:right="20" w:firstLine="270"/>
        <w:spacing w:after="0" w:line="294" w:lineRule="auto"/>
        <w:rPr>
          <w:sz w:val="20"/>
          <w:szCs w:val="20"/>
          <w:color w:val="auto"/>
        </w:rPr>
      </w:pPr>
      <w:r>
        <w:rPr>
          <w:rFonts w:ascii="Arial" w:cs="Arial" w:eastAsia="Arial" w:hAnsi="Arial"/>
          <w:sz w:val="16"/>
          <w:szCs w:val="16"/>
          <w:color w:val="auto"/>
        </w:rPr>
        <w:t>The Company’s long-term borrowings above include $5.0 million for its credit facility. Interest included above related to the credit facility reflects the interest rate in effect at October 31, 2010 (3.81%), and assumes a constant $5.0 million balance over the remaining term of the agreement, which expires on February 10, 2013. Under the terms of the agreement, the interest rate charged on outstanding balances is subject to change based on changes in the Company’s leverage ratio. Amounts available under the credit facility are charged interest at the rate of 0.5% and interest related to the $60 million amount available under the credit facility at October 31, 2010, is reflected in the table above as remaining available over the remaining term of the credit facility.</w:t>
      </w:r>
    </w:p>
    <w:p>
      <w:pPr>
        <w:spacing w:after="0" w:line="197"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As of October 31, 2010, the Company had recorded an accrual for tax contingencies of $2.0 million which was not included in the above table due to the high degree of uncertainty regarding the timing of future payments relating to such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Under the MP Mask joint venture operating agreement, in order to maintain its 49.99% ownership interest, the Company may be required to make additional capital contributions to the joint venture up to the maximum amount defined in the operating agreement. Cumulatively, through October 31, 2010, the Company has contributed $6.1 million to the joint venture, and has received distributions from the joint venture totaling $10.0 million. The Company made no contributions to the joint venture and received no distributions from the joint venture during fiscal 2010. However, in December 2010, the Company made an additional capital contribution of $4 million to the MP Mask joint venture relating to a capital call requested by the joint venture.</w:t>
      </w:r>
    </w:p>
    <w:p>
      <w:pPr>
        <w:spacing w:after="0" w:line="197" w:lineRule="exact"/>
        <w:rPr>
          <w:sz w:val="20"/>
          <w:szCs w:val="20"/>
          <w:color w:val="auto"/>
        </w:rPr>
      </w:pPr>
    </w:p>
    <w:p>
      <w:pPr>
        <w:jc w:val="both"/>
        <w:ind w:right="420" w:firstLine="270"/>
        <w:spacing w:after="0" w:line="259"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9 to the consolidated financial statements for additional information on these operating leases.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jc w:val="both"/>
        <w:ind w:right="160" w:firstLine="220"/>
        <w:spacing w:after="0" w:line="298" w:lineRule="auto"/>
        <w:rPr>
          <w:sz w:val="20"/>
          <w:szCs w:val="20"/>
          <w:color w:val="auto"/>
        </w:rPr>
      </w:pPr>
      <w:r>
        <w:rPr>
          <w:rFonts w:ascii="Arial" w:cs="Arial" w:eastAsia="Arial" w:hAnsi="Arial"/>
          <w:sz w:val="16"/>
          <w:szCs w:val="16"/>
          <w:color w:val="auto"/>
        </w:rPr>
        <w:t>On May 19, 2009, the Company and Micron entered into a new lease agreement for the U.S. nanoFab building and cancelled its prior lease agreement. The new lease, among other changes discussed in Note 4 to the consolidated financial statements, extends the lease term from December 31, 2012 to December 31,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8"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Total share-based compensation expense was $1.9 million and $2.1 million for the years ended October 31, 2010 and November 1, 2009, respectively, substantially all of which is in selling, general and administrative expenses. No compensation cost was capitalized as part of inventory, and no related income tax benefit has been recorded. As of October 31, 2010, total unrecognized compensation cost of $3.5 million is expected to be recognized over a weighted-average amortization period of 2.9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8"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benefit from advanced technology it may utilize under its technology license with Micron. The Company's Korean and Taiwanese operations are non-wholly owned subsidiaries and, therefore, a portion of earnings generated at each location is allocated to the noncontrolling interests.</w:t>
      </w:r>
    </w:p>
    <w:p>
      <w:pPr>
        <w:spacing w:after="0" w:line="194" w:lineRule="exact"/>
        <w:rPr>
          <w:sz w:val="20"/>
          <w:szCs w:val="20"/>
          <w:color w:val="auto"/>
        </w:rPr>
      </w:pPr>
    </w:p>
    <w:p>
      <w:pPr>
        <w:ind w:right="500" w:firstLine="270"/>
        <w:spacing w:after="0" w:line="335"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9"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ind w:right="40" w:firstLine="270"/>
        <w:spacing w:after="0" w:line="312"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Significant accounting estimates include those used in the testing of long-lived assets for potential impairment, and those used in developing income tax provisions and allowances for uncollectible accounts receivable. The Company's estimates are based on the facts and circumstances available at the time they are made. Changes in accounting estimates used are likely to occur from period to period, which may have a material impact on the presentation of the Company's financial conditio n and results of operations. Actual results reported by the Company may differ from such estimates. The Company reviews these estimates periodically and reflects the effect of revisions in the period in which they are determined.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20" w:firstLine="270"/>
        <w:spacing w:after="0" w:line="306" w:lineRule="auto"/>
        <w:rPr>
          <w:sz w:val="20"/>
          <w:szCs w:val="20"/>
          <w:color w:val="auto"/>
        </w:rPr>
      </w:pPr>
      <w:r>
        <w:rPr>
          <w:rFonts w:ascii="Arial" w:cs="Arial" w:eastAsia="Arial" w:hAnsi="Arial"/>
          <w:sz w:val="16"/>
          <w:szCs w:val="16"/>
          <w:color w:val="auto"/>
        </w:rPr>
        <w:t>The fair values of the Company's 5.5% convertible senior notes are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60" w:firstLine="220"/>
        <w:spacing w:after="0" w:line="256"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224"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 verable.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52"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using the straight-line method or another method that more fairly represents the utilization of the assets.</w:t>
      </w:r>
    </w:p>
    <w:p>
      <w:pPr>
        <w:spacing w:after="0" w:line="188"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The Company periodically evaluates the remaining useful lives of its intangible assets (other than goodwill)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ind w:right="80" w:firstLine="270"/>
        <w:spacing w:after="0" w:line="288" w:lineRule="auto"/>
        <w:rPr>
          <w:sz w:val="20"/>
          <w:szCs w:val="20"/>
          <w:color w:val="auto"/>
        </w:rPr>
      </w:pPr>
      <w:r>
        <w:rPr>
          <w:rFonts w:ascii="Arial" w:cs="Arial" w:eastAsia="Arial" w:hAnsi="Arial"/>
          <w:sz w:val="16"/>
          <w:szCs w:val="16"/>
          <w:color w:val="auto"/>
        </w:rPr>
        <w:t>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The Company, for purposes of testing impairment, was a single reporting unit. If the fair value of the reporting unit exceeded the carrying value of its net assets, goodwill was considered not impaired and no further testing was required. If the carrying value of its net assets exceeded the fair value of the reporting unit, a second step of the impairment test was performed in order to determine the implied fair value of a reporting unit's goodwill. Determining the implied fair value of goodwill requi 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 As a result of a test performed in the third quarter of fiscal 2008, the Company wrote off all of its $138.5 million of goodwill.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52"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Investments in joint ventures over which the Company has the ability to exercise significant influence and that, in general, are at least 20 percent owned are stated at cost plus equity in undistributed net income (loss) of the joint venture. An impairment loss would be recognized whenever a decline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The income tax (provision) benefit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more likely than not, by considering future market growth, forecasted operations, future taxable income, and the amounts of earnings in the tax jurisdictions in which it operates.</w:t>
      </w:r>
    </w:p>
    <w:p>
      <w:pPr>
        <w:spacing w:after="0" w:line="224"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realization is deemed not more likely than not. Accordingly, income taxes in the consolidated statements of operations are impacted by changes in the valuation allowances. Significant management estimates and judgment are required in determining any valuation allowances recorded against net deferred tax assets. 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 recognizes revenue when there is persuasive evidence that an arrangement exists, delivery has occurred, the sales price is fixed or determinable, and collectability is reasonably assured. The Company uses judgment when estimating the effect on revenue of discounts and product warranty obligations, both of which are accrued when the related revenue is recognized.</w:t>
      </w:r>
    </w:p>
    <w:p>
      <w:pPr>
        <w:spacing w:after="0" w:line="221"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 t the time of revenue recognition, a liability is established for these items.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100" w:firstLine="270"/>
        <w:spacing w:after="0" w:line="287" w:lineRule="auto"/>
        <w:rPr>
          <w:sz w:val="20"/>
          <w:szCs w:val="20"/>
          <w:color w:val="auto"/>
        </w:rPr>
      </w:pPr>
      <w:r>
        <w:rPr>
          <w:rFonts w:ascii="Arial" w:cs="Arial" w:eastAsia="Arial" w:hAnsi="Arial"/>
          <w:sz w:val="16"/>
          <w:szCs w:val="16"/>
          <w:color w:val="auto"/>
        </w:rPr>
        <w:t>The Company adopted Financial Accounting Standards Board (FASB) Accounting Standards Codification (ASC) 718 relating to share-based payments on October 31, 2005, using the modified prospective method described in Statement of Financial Accounting Standards No. 123 (revised 2004), "Share-Based Payment". Subsequently, compensation expense is recognized in the Company's consolidated statements of operations over the service period that the awards are expected to vest. The Company recognizes expense for all share-based compensation with graded vesting granted on or after October 31, 2005, on a straight-line basis over the vesting period of the entire award. For awards with graded vesting granted prior to October 31, 2005, the Company recognized compensation cost over the vesting period following accelerated recognition as if each underlying vesting date represe nted a separate award.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jc w:val="both"/>
        <w:ind w:right="160" w:firstLine="270"/>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8"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See Note 23 of the Company's consolidated financial statements for a summary of recent accounting pronouncements that may affect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8"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consolidated statement of operations, or as accumulated other comprehensive income (or loss), a separate component of equity, depending on the use of the derivatives and whether they qualify for hedge accounting. In order to qualify for hedge accounting, among other criteria, the derivative must be a hedge of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8"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The Company conducts business in several major international currencies throughout its worldwide operations and is subject to changes in foreign exchange rates of such currencies. Changes in exchange rates can positively or negatively affect the Company's sales, operating margins, assets, liabilities, and equity. The functional currencies of the Company's Asian subsidiaries are the Korean won, New Taiwan dollar, Singapore dollar and the Chinese renminbi. The functional currencies of the Company's European subsidiaries are the British pound and the euro.</w:t>
      </w:r>
    </w:p>
    <w:p>
      <w:pPr>
        <w:spacing w:after="0" w:line="194"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currency against the U.S. dollar. Prior to 2010, the Company had periodically experienced significant foreign exchange losses on these transactions.</w:t>
      </w:r>
    </w:p>
    <w:p>
      <w:pPr>
        <w:spacing w:after="0" w:line="197" w:lineRule="exact"/>
        <w:rPr>
          <w:sz w:val="20"/>
          <w:szCs w:val="20"/>
          <w:color w:val="auto"/>
        </w:rPr>
      </w:pPr>
    </w:p>
    <w:p>
      <w:pPr>
        <w:ind w:right="240" w:firstLine="270"/>
        <w:spacing w:after="0" w:line="298" w:lineRule="auto"/>
        <w:rPr>
          <w:sz w:val="20"/>
          <w:szCs w:val="20"/>
          <w:color w:val="auto"/>
        </w:rPr>
      </w:pPr>
      <w:r>
        <w:rPr>
          <w:rFonts w:ascii="Arial" w:cs="Arial" w:eastAsia="Arial" w:hAnsi="Arial"/>
          <w:sz w:val="16"/>
          <w:szCs w:val="16"/>
          <w:color w:val="auto"/>
        </w:rPr>
        <w:t>The Company's primary net foreign currency exposures as of October 31, 2010, included the Korean won, the Japanese yen, the Singapore dollar, the New Taiwan dollar, the British pound, and the euro. As of October 31, 2010, a 10% adverse movement in the value of these currencies against the U.S. dollar would have resulted in a net unrealized pre-tax loss of $3.3 million. The Company does not believe that a 10% change in the exchange rates of other non-U.S. dollar currencies would have a material effect on its consolidated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8" w:lineRule="exact"/>
        <w:rPr>
          <w:sz w:val="20"/>
          <w:szCs w:val="20"/>
          <w:color w:val="auto"/>
        </w:rPr>
      </w:pPr>
    </w:p>
    <w:p>
      <w:pPr>
        <w:ind w:right="360" w:firstLine="270"/>
        <w:spacing w:after="0" w:line="332" w:lineRule="auto"/>
        <w:rPr>
          <w:sz w:val="20"/>
          <w:szCs w:val="20"/>
          <w:color w:val="auto"/>
        </w:rPr>
      </w:pPr>
      <w:r>
        <w:rPr>
          <w:rFonts w:ascii="Arial" w:cs="Arial" w:eastAsia="Arial" w:hAnsi="Arial"/>
          <w:sz w:val="16"/>
          <w:szCs w:val="16"/>
          <w:color w:val="auto"/>
        </w:rPr>
        <w:t>At October 31, 2010 and November 1, 2009, the Company had $5.0 million and $29.8 million in variable rate borrowings. A 10% change in interest rates would not have had a material effect on the Company's consolidated financial position, results of operations, or cash flows in 2010 or 2009.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06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43"/>
        </w:trPr>
        <w:tc>
          <w:tcPr>
            <w:tcW w:w="110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35"/>
        </w:trPr>
        <w:tc>
          <w:tcPr>
            <w:tcW w:w="11060" w:type="dxa"/>
            <w:vAlign w:val="bottom"/>
          </w:tcPr>
          <w:p>
            <w:pPr>
              <w:spacing w:after="0"/>
              <w:rPr>
                <w:sz w:val="20"/>
                <w:szCs w:val="20"/>
                <w:color w:val="auto"/>
              </w:rPr>
            </w:pPr>
            <w:r>
              <w:rPr>
                <w:rFonts w:ascii="Arial" w:cs="Arial" w:eastAsia="Arial" w:hAnsi="Arial"/>
                <w:sz w:val="18"/>
                <w:szCs w:val="18"/>
                <w:color w:val="auto"/>
              </w:rPr>
              <w:t>Consolidated Balance Sheets at October 31, 2010 and November 1, 2009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51"/>
        </w:trPr>
        <w:tc>
          <w:tcPr>
            <w:tcW w:w="11060" w:type="dxa"/>
            <w:vAlign w:val="bottom"/>
            <w:shd w:val="clear" w:color="auto" w:fill="C0C0C0"/>
          </w:tcPr>
          <w:p>
            <w:pPr>
              <w:spacing w:after="0"/>
              <w:rPr>
                <w:sz w:val="20"/>
                <w:szCs w:val="20"/>
                <w:color w:val="auto"/>
              </w:rPr>
            </w:pPr>
            <w:r>
              <w:rPr>
                <w:rFonts w:ascii="Arial" w:cs="Arial" w:eastAsia="Arial" w:hAnsi="Arial"/>
                <w:sz w:val="18"/>
                <w:szCs w:val="18"/>
                <w:color w:val="auto"/>
              </w:rPr>
              <w:t>Consolidated Statements of Operations for the years ended October 31, 2010, November 1, 2009 and November 2, 2008</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r>
      <w:tr>
        <w:trPr>
          <w:trHeight w:val="235"/>
        </w:trPr>
        <w:tc>
          <w:tcPr>
            <w:tcW w:w="11060" w:type="dxa"/>
            <w:vAlign w:val="bottom"/>
          </w:tcPr>
          <w:p>
            <w:pPr>
              <w:spacing w:after="0"/>
              <w:rPr>
                <w:sz w:val="20"/>
                <w:szCs w:val="20"/>
                <w:color w:val="auto"/>
              </w:rPr>
            </w:pPr>
            <w:r>
              <w:rPr>
                <w:rFonts w:ascii="Arial" w:cs="Arial" w:eastAsia="Arial" w:hAnsi="Arial"/>
                <w:sz w:val="18"/>
                <w:szCs w:val="18"/>
                <w:color w:val="auto"/>
              </w:rPr>
              <w:t>Consolidated Statements of Equity for the years ended October 31, 2010, November 1, 2009 and November 2, 2008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51"/>
        </w:trPr>
        <w:tc>
          <w:tcPr>
            <w:tcW w:w="11060" w:type="dxa"/>
            <w:vAlign w:val="bottom"/>
            <w:shd w:val="clear" w:color="auto" w:fill="C0C0C0"/>
          </w:tcPr>
          <w:p>
            <w:pPr>
              <w:spacing w:after="0"/>
              <w:rPr>
                <w:sz w:val="20"/>
                <w:szCs w:val="20"/>
                <w:color w:val="auto"/>
              </w:rPr>
            </w:pPr>
            <w:r>
              <w:rPr>
                <w:rFonts w:ascii="Arial" w:cs="Arial" w:eastAsia="Arial" w:hAnsi="Arial"/>
                <w:sz w:val="18"/>
                <w:szCs w:val="18"/>
                <w:color w:val="auto"/>
              </w:rPr>
              <w:t>Consolidated Statements of Cash Flows for the years ended October 31, 2010, November 1, 2009 and November 2, 2008</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r>
      <w:tr>
        <w:trPr>
          <w:trHeight w:val="228"/>
        </w:trPr>
        <w:tc>
          <w:tcPr>
            <w:tcW w:w="110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46"/>
        </w:trPr>
        <w:tc>
          <w:tcPr>
            <w:tcW w:w="11060" w:type="dxa"/>
            <w:vAlign w:val="bottom"/>
          </w:tcPr>
          <w:p>
            <w:pPr>
              <w:ind w:left="56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110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46" w:lineRule="exact"/>
        <w:rPr>
          <w:sz w:val="20"/>
          <w:szCs w:val="20"/>
          <w:color w:val="auto"/>
        </w:rPr>
      </w:pPr>
    </w:p>
    <w:p>
      <w:pPr>
        <w:ind w:firstLine="270"/>
        <w:spacing w:after="0" w:line="312" w:lineRule="auto"/>
        <w:rPr>
          <w:sz w:val="20"/>
          <w:szCs w:val="20"/>
          <w:color w:val="auto"/>
        </w:rPr>
      </w:pPr>
      <w:r>
        <w:rPr>
          <w:rFonts w:ascii="Arial" w:cs="Arial" w:eastAsia="Arial" w:hAnsi="Arial"/>
          <w:sz w:val="15"/>
          <w:szCs w:val="15"/>
          <w:color w:val="auto"/>
        </w:rPr>
        <w:t xml:space="preserve">We have audited the accompanying consolidated balance sheets of Photronics, Inc. and subsidiaries (the "Company") as of October 31, 2010 and November 1, 2009 and the related consolidated statements of operations, equity, and cash flows for each of the three fiscal years ended October 31, 2010, November 1, 2009 and November 2, 2008. We also have audited the Company's internal control over financial reporting as of October 31, 2010, based on criteria established in </w:t>
      </w:r>
      <w:r>
        <w:rPr>
          <w:rFonts w:ascii="Arial" w:cs="Arial" w:eastAsia="Arial" w:hAnsi="Arial"/>
          <w:sz w:val="15"/>
          <w:szCs w:val="15"/>
          <w:i w:val="1"/>
          <w:iCs w:val="1"/>
          <w:color w:val="auto"/>
        </w:rPr>
        <w:t xml:space="preserve">Internal Control - Integrated Framework </w:t>
      </w:r>
      <w:r>
        <w:rPr>
          <w:rFonts w:ascii="Arial" w:cs="Arial" w:eastAsia="Arial" w:hAnsi="Arial"/>
          <w:sz w:val="15"/>
          <w:szCs w:val="15"/>
          <w:color w:val="auto"/>
        </w:rPr>
        <w:t>issued by the Committee of Sponsoring Organizations of the Treadway Commission. The Company's management is</w:t>
      </w:r>
      <w:r>
        <w:rPr>
          <w:rFonts w:ascii="Arial" w:cs="Arial" w:eastAsia="Arial" w:hAnsi="Arial"/>
          <w:sz w:val="15"/>
          <w:szCs w:val="15"/>
          <w:i w:val="1"/>
          <w:iCs w:val="1"/>
          <w:color w:val="auto"/>
        </w:rPr>
        <w:t xml:space="preserve"> </w:t>
      </w:r>
      <w:r>
        <w:rPr>
          <w:rFonts w:ascii="Arial" w:cs="Arial" w:eastAsia="Arial" w:hAnsi="Arial"/>
          <w:sz w:val="15"/>
          <w:szCs w:val="15"/>
          <w:color w:val="auto"/>
        </w:rPr>
        <w:t>responsible for these financial statements, for maintaining effective int 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pacing w:after="0" w:line="186" w:lineRule="exact"/>
        <w:rPr>
          <w:sz w:val="20"/>
          <w:szCs w:val="20"/>
          <w:color w:val="auto"/>
        </w:rPr>
      </w:pPr>
    </w:p>
    <w:p>
      <w:pPr>
        <w:ind w:right="160" w:firstLine="27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 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24"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Photronics, Inc. and subsidiaries as of October 31, 2010 and November 1, 2009, and the results of their operations and their cash flows for each of the three fiscal years ended October 31, 2010, November 1, 2009 and November 2, 2008, in conformity with accounting principles generally accepted in the United States of America. Also, in our opinion, the Company maintained, in all material respects, effective internal control over financial reporting as of October 31, 2010,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97"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As discussed in Note 1 to the consolidated financial statements, on November 2, 2009, the Company adopted new accounting standards for noncontrolling interests as set forth in Consolidation Topic No. 810 of the Accounting Standards Codification.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14, 2011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November 1,</w:t>
            </w:r>
          </w:p>
        </w:tc>
      </w:tr>
      <w:tr>
        <w:trPr>
          <w:trHeight w:val="252"/>
        </w:trPr>
        <w:tc>
          <w:tcPr>
            <w:tcW w:w="85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98,945</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88,539</w:t>
            </w:r>
          </w:p>
        </w:tc>
      </w:tr>
      <w:tr>
        <w:trPr>
          <w:trHeight w:val="235"/>
        </w:trPr>
        <w:tc>
          <w:tcPr>
            <w:tcW w:w="85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Accounts receivable, net of allowance of $4,235 in 2010</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r>
      <w:tr>
        <w:trPr>
          <w:trHeight w:val="259"/>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and $2,669 in 2009</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82,951</w:t>
            </w:r>
          </w:p>
        </w:tc>
        <w:tc>
          <w:tcPr>
            <w:tcW w:w="28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66,920</w:t>
            </w: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14,826</w:t>
            </w:r>
          </w:p>
        </w:tc>
      </w:tr>
      <w:tr>
        <w:trPr>
          <w:trHeight w:val="251"/>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1,173</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3,264</w:t>
            </w:r>
          </w:p>
        </w:tc>
      </w:tr>
      <w:tr>
        <w:trPr>
          <w:trHeight w:val="237"/>
        </w:trPr>
        <w:tc>
          <w:tcPr>
            <w:tcW w:w="8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7,231</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6,448</w:t>
            </w: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205,802</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179,997</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369,814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347,889</w:t>
            </w:r>
          </w:p>
        </w:tc>
      </w:tr>
      <w:tr>
        <w:trPr>
          <w:trHeight w:val="251"/>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61,127</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60,945</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47,748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55,054</w:t>
            </w:r>
          </w:p>
        </w:tc>
      </w:tr>
      <w:tr>
        <w:trPr>
          <w:trHeight w:val="244"/>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19,388</w:t>
            </w:r>
          </w:p>
        </w:tc>
        <w:tc>
          <w:tcPr>
            <w:tcW w:w="28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19,771</w:t>
            </w:r>
          </w:p>
        </w:tc>
      </w:tr>
      <w:tr>
        <w:trPr>
          <w:trHeight w:val="257"/>
        </w:trPr>
        <w:tc>
          <w:tcPr>
            <w:tcW w:w="858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703,879</w:t>
            </w:r>
          </w:p>
        </w:tc>
        <w:tc>
          <w:tcPr>
            <w:tcW w:w="2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663,656</w:t>
            </w:r>
          </w:p>
        </w:tc>
      </w:tr>
      <w:tr>
        <w:trPr>
          <w:trHeight w:val="237"/>
        </w:trPr>
        <w:tc>
          <w:tcPr>
            <w:tcW w:w="85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104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1060" w:type="dxa"/>
            <w:vAlign w:val="bottom"/>
            <w:tcBorders>
              <w:top w:val="single" w:sz="8" w:color="auto"/>
            </w:tcBorders>
            <w:shd w:val="clear" w:color="auto" w:fill="C0C0C0"/>
          </w:tcPr>
          <w:p>
            <w:pPr>
              <w:spacing w:after="0"/>
              <w:rPr>
                <w:sz w:val="20"/>
                <w:szCs w:val="20"/>
                <w:color w:val="auto"/>
              </w:rPr>
            </w:pP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35"/>
        </w:trPr>
        <w:tc>
          <w:tcPr>
            <w:tcW w:w="8580" w:type="dxa"/>
            <w:vAlign w:val="bottom"/>
          </w:tcPr>
          <w:p>
            <w:pPr>
              <w:ind w:left="320"/>
              <w:spacing w:after="0"/>
              <w:rPr>
                <w:sz w:val="20"/>
                <w:szCs w:val="20"/>
                <w:color w:val="auto"/>
              </w:rPr>
            </w:pPr>
            <w:r>
              <w:rPr>
                <w:rFonts w:ascii="Arial" w:cs="Arial" w:eastAsia="Arial" w:hAnsi="Arial"/>
                <w:sz w:val="18"/>
                <w:szCs w:val="18"/>
                <w:color w:val="auto"/>
              </w:rPr>
              <w:t>Current portion of long-term borrowings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11,467</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10,301</w:t>
            </w:r>
          </w:p>
        </w:tc>
      </w:tr>
      <w:tr>
        <w:trPr>
          <w:trHeight w:val="251"/>
        </w:trPr>
        <w:tc>
          <w:tcPr>
            <w:tcW w:w="85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77,630</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59,187</w:t>
            </w:r>
          </w:p>
        </w:tc>
      </w:tr>
      <w:tr>
        <w:trPr>
          <w:trHeight w:val="237"/>
        </w:trPr>
        <w:tc>
          <w:tcPr>
            <w:tcW w:w="858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30,132</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20,967</w:t>
            </w: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119,229</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90,455</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78,852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112,137</w:t>
            </w:r>
          </w:p>
        </w:tc>
      </w:tr>
      <w:tr>
        <w:trPr>
          <w:trHeight w:val="251"/>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1,487</w:t>
            </w: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9,356</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9,881</w:t>
            </w: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207,936</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213,960</w:t>
            </w: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43"/>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28"/>
        </w:trPr>
        <w:tc>
          <w:tcPr>
            <w:tcW w:w="8580" w:type="dxa"/>
            <w:vAlign w:val="bottom"/>
          </w:tcPr>
          <w:p>
            <w:pPr>
              <w:ind w:left="320"/>
              <w:spacing w:after="0"/>
              <w:rPr>
                <w:sz w:val="20"/>
                <w:szCs w:val="20"/>
                <w:color w:val="auto"/>
              </w:rPr>
            </w:pPr>
            <w:r>
              <w:rPr>
                <w:rFonts w:ascii="Arial" w:cs="Arial" w:eastAsia="Arial" w:hAnsi="Arial"/>
                <w:sz w:val="18"/>
                <w:szCs w:val="18"/>
                <w:color w:val="auto"/>
              </w:rPr>
              <w:t>Preferred stock, $0.01 par value,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8580" w:type="dxa"/>
            <w:vAlign w:val="bottom"/>
          </w:tcPr>
          <w:p>
            <w:pPr>
              <w:ind w:left="620"/>
              <w:spacing w:after="0"/>
              <w:rPr>
                <w:sz w:val="20"/>
                <w:szCs w:val="20"/>
                <w:color w:val="auto"/>
              </w:rPr>
            </w:pPr>
            <w:r>
              <w:rPr>
                <w:rFonts w:ascii="Arial" w:cs="Arial" w:eastAsia="Arial" w:hAnsi="Arial"/>
                <w:sz w:val="18"/>
                <w:szCs w:val="18"/>
                <w:color w:val="auto"/>
              </w:rPr>
              <w:t>2,000 shares authorized, none issued and outstanding</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8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Common stock, $0.01 par value,</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150,000 shares authorized, 53,779 shares issued and outstanding</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43"/>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at October 31, 2010, and 53,011 shares issued and outstanding</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r>
      <w:tr>
        <w:trPr>
          <w:trHeight w:val="259"/>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at November 1, 2009</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530</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436,825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432,160</w:t>
            </w:r>
          </w:p>
        </w:tc>
      </w:tr>
      <w:tr>
        <w:trPr>
          <w:trHeight w:val="251"/>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(2,624)</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(26,546)</w:t>
            </w: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7,062</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Total Photronics, Inc. shareholders' equity</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441,801</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399,755</w:t>
            </w:r>
          </w:p>
        </w:tc>
      </w:tr>
      <w:tr>
        <w:trPr>
          <w:trHeight w:val="237"/>
        </w:trPr>
        <w:tc>
          <w:tcPr>
            <w:tcW w:w="8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54,142</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49,941</w:t>
            </w:r>
          </w:p>
        </w:tc>
      </w:tr>
      <w:tr>
        <w:trPr>
          <w:trHeight w:val="237"/>
        </w:trPr>
        <w:tc>
          <w:tcPr>
            <w:tcW w:w="85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495,943</w:t>
            </w:r>
          </w:p>
        </w:tc>
        <w:tc>
          <w:tcPr>
            <w:tcW w:w="28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10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449,696</w:t>
            </w:r>
          </w:p>
        </w:tc>
      </w:tr>
      <w:tr>
        <w:trPr>
          <w:trHeight w:val="235"/>
        </w:trPr>
        <w:tc>
          <w:tcPr>
            <w:tcW w:w="85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703,879</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663,656</w:t>
            </w:r>
          </w:p>
        </w:tc>
      </w:tr>
      <w:tr>
        <w:trPr>
          <w:trHeight w:val="35"/>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8"/>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86"/>
              </w:rPr>
              <w:t>November 2,</w:t>
            </w:r>
          </w:p>
        </w:tc>
      </w:tr>
      <w:tr>
        <w:trPr>
          <w:trHeight w:val="251"/>
        </w:trPr>
        <w:tc>
          <w:tcPr>
            <w:tcW w:w="5900" w:type="dxa"/>
            <w:vAlign w:val="bottom"/>
            <w:tcBorders>
              <w:bottom w:val="single" w:sz="8" w:color="C0C0C0"/>
            </w:tcBorders>
          </w:tcPr>
          <w:p>
            <w:pPr>
              <w:spacing w:after="0"/>
              <w:rPr>
                <w:sz w:val="21"/>
                <w:szCs w:val="21"/>
                <w:color w:val="auto"/>
              </w:rPr>
            </w:pPr>
          </w:p>
        </w:tc>
        <w:tc>
          <w:tcPr>
            <w:tcW w:w="15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r>
      <w:tr>
        <w:trPr>
          <w:trHeight w:val="243"/>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425,554</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361,353</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422,548</w:t>
            </w: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Cost and expenses: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Cost of sales</w:t>
            </w:r>
          </w:p>
        </w:tc>
        <w:tc>
          <w:tcPr>
            <w:tcW w:w="1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(333,739)</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(304,282)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(349,841)</w:t>
            </w:r>
          </w:p>
        </w:tc>
      </w:tr>
      <w:tr>
        <w:trPr>
          <w:trHeight w:val="235"/>
        </w:trPr>
        <w:tc>
          <w:tcPr>
            <w:tcW w:w="59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(42,387)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(41,162)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(55,167)</w:t>
            </w:r>
          </w:p>
        </w:tc>
      </w:tr>
      <w:tr>
        <w:trPr>
          <w:trHeight w:val="251"/>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(14,932)</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(15,423)</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(17,475)</w:t>
            </w:r>
          </w:p>
        </w:tc>
      </w:tr>
      <w:tr>
        <w:trPr>
          <w:trHeight w:val="235"/>
        </w:trPr>
        <w:tc>
          <w:tcPr>
            <w:tcW w:w="5900" w:type="dxa"/>
            <w:vAlign w:val="bottom"/>
          </w:tcPr>
          <w:p>
            <w:pPr>
              <w:ind w:left="320"/>
              <w:spacing w:after="0"/>
              <w:rPr>
                <w:sz w:val="20"/>
                <w:szCs w:val="20"/>
                <w:color w:val="auto"/>
              </w:rPr>
            </w:pPr>
            <w:r>
              <w:rPr>
                <w:rFonts w:ascii="Arial" w:cs="Arial" w:eastAsia="Arial" w:hAnsi="Arial"/>
                <w:sz w:val="18"/>
                <w:szCs w:val="18"/>
                <w:color w:val="auto"/>
              </w:rPr>
              <w:t>Consolidation, restructuring and related credits (charges)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4,979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51"/>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Impairment of long-lived assets</w:t>
            </w:r>
          </w:p>
        </w:tc>
        <w:tc>
          <w:tcPr>
            <w:tcW w:w="1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(66,874)</w:t>
            </w:r>
          </w:p>
        </w:tc>
      </w:tr>
      <w:tr>
        <w:trPr>
          <w:trHeight w:val="235"/>
        </w:trPr>
        <w:tc>
          <w:tcPr>
            <w:tcW w:w="5900" w:type="dxa"/>
            <w:vAlign w:val="bottom"/>
          </w:tcPr>
          <w:p>
            <w:pPr>
              <w:ind w:left="320"/>
              <w:spacing w:after="0"/>
              <w:rPr>
                <w:sz w:val="20"/>
                <w:szCs w:val="20"/>
                <w:color w:val="auto"/>
              </w:rPr>
            </w:pPr>
            <w:r>
              <w:rPr>
                <w:rFonts w:ascii="Arial" w:cs="Arial" w:eastAsia="Arial" w:hAnsi="Arial"/>
                <w:sz w:val="18"/>
                <w:szCs w:val="18"/>
                <w:color w:val="auto"/>
              </w:rPr>
              <w:t>Impairment of goodwill</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(138,534)</w:t>
            </w:r>
          </w:p>
        </w:tc>
      </w:tr>
      <w:tr>
        <w:trPr>
          <w:trHeight w:val="251"/>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Gain on sale of facility</w:t>
            </w:r>
          </w:p>
        </w:tc>
        <w:tc>
          <w:tcPr>
            <w:tcW w:w="15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2,034</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39,475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(205,853)</w:t>
            </w:r>
          </w:p>
        </w:tc>
      </w:tr>
      <w:tr>
        <w:trPr>
          <w:trHeight w:val="251"/>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35"/>
        </w:trPr>
        <w:tc>
          <w:tcPr>
            <w:tcW w:w="590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(22,401)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(11,878)</w:t>
            </w:r>
          </w:p>
        </w:tc>
      </w:tr>
      <w:tr>
        <w:trPr>
          <w:trHeight w:val="251"/>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Investment and other income (expense), net</w:t>
            </w:r>
          </w:p>
        </w:tc>
        <w:tc>
          <w:tcPr>
            <w:tcW w:w="15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2,553</w:t>
            </w:r>
          </w:p>
        </w:tc>
        <w:tc>
          <w:tcPr>
            <w:tcW w:w="26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(2,208)</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5,562</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Income (loss) before income tax (provision) benefit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32,553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(212,169)</w:t>
            </w:r>
          </w:p>
        </w:tc>
      </w:tr>
      <w:tr>
        <w:trPr>
          <w:trHeight w:val="251"/>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 benefit</w:t>
            </w:r>
          </w:p>
        </w:tc>
        <w:tc>
          <w:tcPr>
            <w:tcW w:w="15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(7,471)</w:t>
            </w:r>
          </w:p>
        </w:tc>
        <w:tc>
          <w:tcPr>
            <w:tcW w:w="26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(4,323)</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2,778</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25,082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(209,391)</w:t>
            </w:r>
          </w:p>
        </w:tc>
      </w:tr>
      <w:tr>
        <w:trPr>
          <w:trHeight w:val="244"/>
        </w:trPr>
        <w:tc>
          <w:tcPr>
            <w:tcW w:w="5900" w:type="dxa"/>
            <w:vAlign w:val="bottom"/>
            <w:shd w:val="clear" w:color="auto" w:fill="C0C0C0"/>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(483)</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(1,374)</w:t>
            </w:r>
          </w:p>
        </w:tc>
      </w:tr>
      <w:tr>
        <w:trPr>
          <w:trHeight w:val="250"/>
        </w:trPr>
        <w:tc>
          <w:tcPr>
            <w:tcW w:w="5900" w:type="dxa"/>
            <w:vAlign w:val="bottom"/>
          </w:tcPr>
          <w:p>
            <w:pPr>
              <w:spacing w:after="0"/>
              <w:rPr>
                <w:sz w:val="20"/>
                <w:szCs w:val="20"/>
                <w:color w:val="auto"/>
              </w:rPr>
            </w:pPr>
            <w:r>
              <w:rPr>
                <w:rFonts w:ascii="Arial" w:cs="Arial" w:eastAsia="Arial" w:hAnsi="Arial"/>
                <w:sz w:val="18"/>
                <w:szCs w:val="18"/>
                <w:color w:val="auto"/>
              </w:rPr>
              <w:t>Net income (loss) attributable to Photronics, Inc.</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23,922</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(41,910)</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(210,765)</w:t>
            </w:r>
          </w:p>
        </w:tc>
      </w:tr>
      <w:tr>
        <w:trPr>
          <w:trHeight w:val="243"/>
        </w:trPr>
        <w:tc>
          <w:tcPr>
            <w:tcW w:w="59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Earnings (loss) per share:</w:t>
            </w:r>
          </w:p>
        </w:tc>
        <w:tc>
          <w:tcPr>
            <w:tcW w:w="15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106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r>
      <w:tr>
        <w:trPr>
          <w:trHeight w:val="242"/>
        </w:trPr>
        <w:tc>
          <w:tcPr>
            <w:tcW w:w="5900" w:type="dxa"/>
            <w:vAlign w:val="bottom"/>
          </w:tcPr>
          <w:p>
            <w:pPr>
              <w:ind w:left="320"/>
              <w:spacing w:after="0"/>
              <w:rPr>
                <w:sz w:val="20"/>
                <w:szCs w:val="20"/>
                <w:color w:val="auto"/>
              </w:rPr>
            </w:pPr>
            <w:r>
              <w:rPr>
                <w:rFonts w:ascii="Arial" w:cs="Arial" w:eastAsia="Arial" w:hAnsi="Arial"/>
                <w:sz w:val="18"/>
                <w:szCs w:val="18"/>
                <w:color w:val="auto"/>
              </w:rPr>
              <w:t>Basic</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8"/>
        </w:trPr>
        <w:tc>
          <w:tcPr>
            <w:tcW w:w="5900" w:type="dxa"/>
            <w:vAlign w:val="bottom"/>
            <w:shd w:val="clear" w:color="auto" w:fill="C0C0C0"/>
          </w:tcPr>
          <w:p>
            <w:pPr>
              <w:spacing w:after="0"/>
              <w:rPr>
                <w:sz w:val="2"/>
                <w:szCs w:val="2"/>
                <w:color w:val="auto"/>
              </w:rPr>
            </w:pPr>
          </w:p>
        </w:tc>
        <w:tc>
          <w:tcPr>
            <w:tcW w:w="15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r>
        <w:trPr>
          <w:trHeight w:val="262"/>
        </w:trPr>
        <w:tc>
          <w:tcPr>
            <w:tcW w:w="5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Diluted</w:t>
            </w:r>
          </w:p>
        </w:tc>
        <w:tc>
          <w:tcPr>
            <w:tcW w:w="16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0C0C0"/>
          </w:tcPr>
          <w:p>
            <w:pPr>
              <w:spacing w:after="0"/>
              <w:rPr>
                <w:sz w:val="22"/>
                <w:szCs w:val="22"/>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(0.97)</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590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58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58"/>
        </w:trPr>
        <w:tc>
          <w:tcPr>
            <w:tcW w:w="590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Basic</w:t>
            </w:r>
          </w:p>
        </w:tc>
        <w:tc>
          <w:tcPr>
            <w:tcW w:w="158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53,433</w:t>
            </w:r>
          </w:p>
        </w:tc>
        <w:tc>
          <w:tcPr>
            <w:tcW w:w="26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auto"/>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43,210</w:t>
            </w:r>
          </w:p>
        </w:tc>
        <w:tc>
          <w:tcPr>
            <w:tcW w:w="26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41,658</w:t>
            </w:r>
          </w:p>
        </w:tc>
      </w:tr>
      <w:tr>
        <w:trPr>
          <w:trHeight w:val="250"/>
        </w:trPr>
        <w:tc>
          <w:tcPr>
            <w:tcW w:w="5900" w:type="dxa"/>
            <w:vAlign w:val="bottom"/>
          </w:tcPr>
          <w:p>
            <w:pPr>
              <w:ind w:left="32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65,803</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43,210</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41,658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2010, November 1, 2009 and November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Photronics, Inc. Shareholders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14"/>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80" w:type="dxa"/>
            <w:vAlign w:val="bottom"/>
            <w:gridSpan w:val="14"/>
          </w:tcPr>
          <w:p>
            <w:pPr>
              <w:jc w:val="right"/>
              <w:ind w:right="192"/>
              <w:spacing w:after="0"/>
              <w:rPr>
                <w:sz w:val="20"/>
                <w:szCs w:val="20"/>
                <w:color w:val="auto"/>
              </w:rPr>
            </w:pPr>
            <w:r>
              <w:rPr>
                <w:rFonts w:ascii="Arial" w:cs="Arial" w:eastAsia="Arial" w:hAnsi="Arial"/>
                <w:sz w:val="14"/>
                <w:szCs w:val="14"/>
                <w:b w:val="1"/>
                <w:bCs w:val="1"/>
                <w:color w:val="auto"/>
                <w:w w:val="92"/>
              </w:rPr>
              <w:t>Accumulated Other Comprehensive Income (Loss)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Retained</w:t>
            </w:r>
          </w:p>
        </w:tc>
        <w:tc>
          <w:tcPr>
            <w:tcW w:w="78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Investment</w:t>
            </w:r>
          </w:p>
        </w:tc>
        <w:tc>
          <w:tcPr>
            <w:tcW w:w="60" w:type="dxa"/>
            <w:vAlign w:val="bottom"/>
          </w:tcPr>
          <w:p>
            <w:pPr>
              <w:spacing w:after="0"/>
              <w:rPr>
                <w:sz w:val="21"/>
                <w:szCs w:val="2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Cash</w:t>
            </w:r>
          </w:p>
        </w:tc>
        <w:tc>
          <w:tcPr>
            <w:tcW w:w="80" w:type="dxa"/>
            <w:vAlign w:val="bottom"/>
          </w:tcPr>
          <w:p>
            <w:pPr>
              <w:spacing w:after="0"/>
              <w:rPr>
                <w:sz w:val="21"/>
                <w:szCs w:val="2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1"/>
                <w:szCs w:val="21"/>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Common Stock</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21"/>
                <w:szCs w:val="2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21"/>
                <w:szCs w:val="21"/>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Flow</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Photronics,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Controlling</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640" w:type="dxa"/>
            <w:vAlign w:val="bottom"/>
            <w:gridSpan w:val="3"/>
          </w:tcPr>
          <w:p>
            <w:pPr>
              <w:spacing w:after="0"/>
              <w:rPr>
                <w:sz w:val="3"/>
                <w:szCs w:val="3"/>
                <w:color w:val="auto"/>
              </w:rPr>
            </w:pPr>
          </w:p>
        </w:tc>
        <w:tc>
          <w:tcPr>
            <w:tcW w:w="74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(Losses)</w:t>
            </w:r>
          </w:p>
        </w:tc>
        <w:tc>
          <w:tcPr>
            <w:tcW w:w="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2"/>
              </w:rPr>
              <w:t>Hedges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8"/>
                <w:szCs w:val="18"/>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w:t>
            </w:r>
          </w:p>
        </w:tc>
        <w:tc>
          <w:tcPr>
            <w:tcW w:w="8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88"/>
              </w:rPr>
              <w:t>Balance at October 28, 2007 – as reported</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41,635</w:t>
            </w:r>
          </w:p>
        </w:tc>
        <w:tc>
          <w:tcPr>
            <w:tcW w:w="340" w:type="dxa"/>
            <w:vAlign w:val="bottom"/>
            <w:tcBorders>
              <w:bottom w:val="single" w:sz="8" w:color="C0C0C0"/>
            </w:tcBorders>
            <w:gridSpan w:val="2"/>
            <w:shd w:val="clear" w:color="auto" w:fill="C0C0C0"/>
          </w:tcPr>
          <w:p>
            <w:pPr>
              <w:ind w:lef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416</w:t>
            </w:r>
          </w:p>
        </w:tc>
        <w:tc>
          <w:tcPr>
            <w:tcW w:w="16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w w:val="85"/>
              </w:rPr>
              <w:t>$381,876</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227,175</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217</w:t>
            </w:r>
          </w:p>
        </w:tc>
        <w:tc>
          <w:tcPr>
            <w:tcW w:w="160" w:type="dxa"/>
            <w:vAlign w:val="bottom"/>
            <w:tcBorders>
              <w:bottom w:val="single" w:sz="8" w:color="C0C0C0"/>
              <w:right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(1,845)</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46,714</w:t>
            </w:r>
          </w:p>
        </w:tc>
        <w:tc>
          <w:tcPr>
            <w:tcW w:w="8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1"/>
              </w:rPr>
              <w:t>(269)</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7"/>
              </w:rPr>
              <w:t>44,817</w:t>
            </w:r>
          </w:p>
        </w:tc>
        <w:tc>
          <w:tcPr>
            <w:tcW w:w="2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w w:val="98"/>
              </w:rPr>
              <w:t>654,284</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6"/>
              </w:rPr>
              <w:t>$ 654,284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4"/>
                <w:szCs w:val="14"/>
                <w:color w:val="auto"/>
                <w:w w:val="91"/>
              </w:rPr>
              <w:t>Effect of adoption of ASC 810 – See Note 1</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49,465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49,465</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88"/>
              </w:rPr>
              <w:t>Balance at October 28, 2007 – as adjusted</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41,635</w:t>
            </w:r>
          </w:p>
        </w:tc>
        <w:tc>
          <w:tcPr>
            <w:tcW w:w="16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416</w:t>
            </w:r>
          </w:p>
        </w:tc>
        <w:tc>
          <w:tcPr>
            <w:tcW w:w="16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w w:val="98"/>
              </w:rPr>
              <w:t>381,876</w:t>
            </w: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227,175</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217</w:t>
            </w:r>
          </w:p>
        </w:tc>
        <w:tc>
          <w:tcPr>
            <w:tcW w:w="160" w:type="dxa"/>
            <w:vAlign w:val="bottom"/>
            <w:tcBorders>
              <w:bottom w:val="single" w:sz="8" w:color="C0C0C0"/>
              <w:right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(1,845)</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46,714</w:t>
            </w:r>
          </w:p>
        </w:tc>
        <w:tc>
          <w:tcPr>
            <w:tcW w:w="8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1"/>
              </w:rPr>
              <w:t>(269)</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7"/>
              </w:rPr>
              <w:t>44,817</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w w:val="98"/>
              </w:rPr>
              <w:t>654,284</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49,465</w:t>
            </w:r>
          </w:p>
        </w:tc>
        <w:tc>
          <w:tcPr>
            <w:tcW w:w="1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703,749</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(loss) income</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6"/>
              </w:rPr>
              <w:t>(210,765)</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(210,765)</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1,374</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(209,391)</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Unrealized holding losses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Less: reclassification adjustments</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w w:val="87"/>
              </w:rPr>
              <w:t>Foreign currency translation adjustments</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5"/>
              </w:rPr>
              <w:t>(62,234)</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8"/>
              </w:rPr>
              <w:t>(62,234)</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(62,234)</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(824)</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(63,058)</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Other</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Total comprehensive (loss) income</w:t>
            </w:r>
          </w:p>
        </w:tc>
        <w:tc>
          <w:tcPr>
            <w:tcW w:w="160" w:type="dxa"/>
            <w:vAlign w:val="bottom"/>
            <w:tcBorders>
              <w:bottom w:val="single" w:sz="8" w:color="C0C0C0"/>
            </w:tcBorders>
            <w:shd w:val="clear" w:color="auto" w:fill="C0C0C0"/>
          </w:tcPr>
          <w:p>
            <w:pPr>
              <w:spacing w:after="0"/>
              <w:rPr>
                <w:sz w:val="20"/>
                <w:szCs w:val="20"/>
                <w:color w:val="auto"/>
              </w:rPr>
            </w:pPr>
          </w:p>
        </w:tc>
        <w:tc>
          <w:tcPr>
            <w:tcW w:w="4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5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right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4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38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(273,083)</w:t>
            </w:r>
          </w:p>
        </w:tc>
        <w:tc>
          <w:tcPr>
            <w:tcW w:w="16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550</w:t>
            </w:r>
          </w:p>
        </w:tc>
        <w:tc>
          <w:tcPr>
            <w:tcW w:w="16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(272,533)</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Arial" w:cs="Arial" w:eastAsia="Arial" w:hAnsi="Arial"/>
                <w:sz w:val="14"/>
                <w:szCs w:val="14"/>
                <w:color w:val="auto"/>
              </w:rPr>
              <w:t>Subsidiary dividend</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0C0C0"/>
          </w:tcPr>
          <w:p>
            <w:pPr>
              <w:spacing w:after="0"/>
              <w:rPr>
                <w:sz w:val="20"/>
                <w:szCs w:val="20"/>
                <w:color w:val="auto"/>
              </w:rPr>
            </w:pPr>
            <w:r>
              <w:rPr>
                <w:rFonts w:ascii="Arial" w:cs="Arial" w:eastAsia="Arial" w:hAnsi="Arial"/>
                <w:sz w:val="14"/>
                <w:szCs w:val="14"/>
                <w:color w:val="auto"/>
                <w:w w:val="96"/>
              </w:rPr>
              <w:t>Sale of common stock through employee</w:t>
            </w:r>
          </w:p>
        </w:tc>
        <w:tc>
          <w:tcPr>
            <w:tcW w:w="1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60" w:type="dxa"/>
            <w:vAlign w:val="bottom"/>
            <w:tcBorders>
              <w:right w:val="single" w:sz="8" w:color="C0C0C0"/>
            </w:tcBorders>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stock option and purchase plan</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2"/>
                <w:szCs w:val="22"/>
                <w:color w:val="auto"/>
              </w:rPr>
            </w:pPr>
          </w:p>
        </w:tc>
        <w:tc>
          <w:tcPr>
            <w:tcW w:w="6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22"/>
                <w:szCs w:val="22"/>
                <w:color w:val="auto"/>
              </w:rPr>
            </w:pPr>
          </w:p>
        </w:tc>
        <w:tc>
          <w:tcPr>
            <w:tcW w:w="60" w:type="dxa"/>
            <w:vAlign w:val="bottom"/>
            <w:tcBorders>
              <w:bottom w:val="single" w:sz="8" w:color="C0C0C0"/>
            </w:tcBorders>
            <w:shd w:val="clear" w:color="auto" w:fill="C0C0C0"/>
          </w:tcPr>
          <w:p>
            <w:pPr>
              <w:spacing w:after="0"/>
              <w:rPr>
                <w:sz w:val="22"/>
                <w:szCs w:val="22"/>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2"/>
                <w:szCs w:val="22"/>
                <w:color w:val="auto"/>
              </w:rPr>
            </w:pPr>
          </w:p>
        </w:tc>
        <w:tc>
          <w:tcPr>
            <w:tcW w:w="6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162</w:t>
            </w:r>
          </w:p>
        </w:tc>
        <w:tc>
          <w:tcPr>
            <w:tcW w:w="16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w w:val="85"/>
              </w:rPr>
              <w:t>Restricted stock awards vestings and expense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1,168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 options and ESPP expense</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1,297</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1,297</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Adoption of FIN No. 48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2, 2008</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41,712</w:t>
            </w:r>
          </w:p>
        </w:tc>
        <w:tc>
          <w:tcPr>
            <w:tcW w:w="16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417</w:t>
            </w:r>
          </w:p>
        </w:tc>
        <w:tc>
          <w:tcPr>
            <w:tcW w:w="16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w w:val="98"/>
              </w:rPr>
              <w:t>384,502</w:t>
            </w: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15,364</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C0C0C0"/>
              <w:right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(1,652)</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5"/>
              </w:rPr>
              <w:t>(15,520)</w:t>
            </w:r>
          </w:p>
        </w:tc>
        <w:tc>
          <w:tcPr>
            <w:tcW w:w="8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1"/>
              </w:rPr>
              <w:t>(267)</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8"/>
              </w:rPr>
              <w:t>(17,501)</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w w:val="98"/>
              </w:rPr>
              <w:t>382,782</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49,616</w:t>
            </w:r>
          </w:p>
        </w:tc>
        <w:tc>
          <w:tcPr>
            <w:tcW w:w="1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432,398</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Comprehensive (loss) income: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(loss) income</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(41,910)</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(41,910)</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483</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(41,427)</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Unrealized holding losses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480"/>
              <w:spacing w:after="0"/>
              <w:rPr>
                <w:sz w:val="20"/>
                <w:szCs w:val="20"/>
                <w:color w:val="auto"/>
              </w:rPr>
            </w:pPr>
            <w:r>
              <w:rPr>
                <w:rFonts w:ascii="Arial" w:cs="Arial" w:eastAsia="Arial" w:hAnsi="Arial"/>
                <w:sz w:val="14"/>
                <w:szCs w:val="14"/>
                <w:color w:val="auto"/>
              </w:rPr>
              <w:t>reclassification adjustment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576</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w w:val="87"/>
              </w:rPr>
              <w:t>Foreign currency translation adjustments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10,712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10,712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10,712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342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11,054</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1"/>
                <w:szCs w:val="21"/>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6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21"/>
                <w:szCs w:val="21"/>
                <w:color w:val="auto"/>
              </w:rPr>
            </w:pPr>
          </w:p>
        </w:tc>
        <w:tc>
          <w:tcPr>
            <w:tcW w:w="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1"/>
              </w:rPr>
              <w:t>(238)</w:t>
            </w:r>
          </w:p>
        </w:tc>
        <w:tc>
          <w:tcPr>
            <w:tcW w:w="160" w:type="dxa"/>
            <w:vAlign w:val="bottom"/>
            <w:tcBorders>
              <w:bottom w:val="single" w:sz="8" w:color="C0C0C0"/>
            </w:tcBorders>
            <w:shd w:val="clear" w:color="auto" w:fill="C0C0C0"/>
          </w:tcPr>
          <w:p>
            <w:pPr>
              <w:spacing w:after="0"/>
              <w:rPr>
                <w:sz w:val="21"/>
                <w:szCs w:val="21"/>
                <w:color w:val="auto"/>
              </w:rPr>
            </w:pPr>
          </w:p>
        </w:tc>
        <w:tc>
          <w:tcPr>
            <w:tcW w:w="6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(238)</w:t>
            </w:r>
          </w:p>
        </w:tc>
        <w:tc>
          <w:tcPr>
            <w:tcW w:w="1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(238)</w:t>
            </w:r>
          </w:p>
        </w:tc>
        <w:tc>
          <w:tcPr>
            <w:tcW w:w="1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(101)</w:t>
            </w:r>
          </w:p>
        </w:tc>
        <w:tc>
          <w:tcPr>
            <w:tcW w:w="1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Arial" w:cs="Arial" w:eastAsia="Arial" w:hAnsi="Arial"/>
                <w:sz w:val="14"/>
                <w:szCs w:val="14"/>
                <w:color w:val="auto"/>
              </w:rPr>
              <w:t>Total comprehensive (loss) income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(30,798)</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763</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(30,035)</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Subsidiary dividend</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(438)</w:t>
            </w:r>
          </w:p>
        </w:tc>
        <w:tc>
          <w:tcPr>
            <w:tcW w:w="1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w w:val="96"/>
              </w:rPr>
              <w:t>Sale of common stock through employee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240"/>
              <w:spacing w:after="0"/>
              <w:rPr>
                <w:sz w:val="20"/>
                <w:szCs w:val="20"/>
                <w:color w:val="auto"/>
              </w:rPr>
            </w:pPr>
            <w:r>
              <w:rPr>
                <w:rFonts w:ascii="Arial" w:cs="Arial" w:eastAsia="Arial" w:hAnsi="Arial"/>
                <w:sz w:val="14"/>
                <w:szCs w:val="14"/>
                <w:color w:val="auto"/>
              </w:rPr>
              <w:t>stock option and purchase plan</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85"/>
              </w:rPr>
              <w:t>Restricted stock awards vestings and expense</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121</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809</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810</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Stock options and ESPP expense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1,326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89"/>
              </w:rPr>
              <w:t>Common stock issued in public offering (net)</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11,084</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111</w:t>
            </w: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42,986</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43,097</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43,097</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Common stock warrants issued</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2,081</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2,081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warrants exercised</w:t>
            </w:r>
          </w:p>
        </w:tc>
        <w:tc>
          <w:tcPr>
            <w:tcW w:w="1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66</w:t>
            </w:r>
          </w:p>
        </w:tc>
        <w:tc>
          <w:tcPr>
            <w:tcW w:w="16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0C0C0"/>
            </w:tcBorders>
            <w:shd w:val="clear" w:color="auto" w:fill="C0C0C0"/>
          </w:tcPr>
          <w:p>
            <w:pPr>
              <w:spacing w:after="0"/>
              <w:rPr>
                <w:sz w:val="21"/>
                <w:szCs w:val="21"/>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6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21"/>
                <w:szCs w:val="21"/>
                <w:color w:val="auto"/>
              </w:rPr>
            </w:pPr>
          </w:p>
        </w:tc>
        <w:tc>
          <w:tcPr>
            <w:tcW w:w="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60" w:type="dxa"/>
            <w:vAlign w:val="bottom"/>
            <w:tcBorders>
              <w:bottom w:val="single" w:sz="8" w:color="C0C0C0"/>
            </w:tcBorders>
            <w:shd w:val="clear" w:color="auto" w:fill="C0C0C0"/>
          </w:tcPr>
          <w:p>
            <w:pPr>
              <w:spacing w:after="0"/>
              <w:rPr>
                <w:sz w:val="21"/>
                <w:szCs w:val="21"/>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340</w:t>
            </w:r>
          </w:p>
        </w:tc>
        <w:tc>
          <w:tcPr>
            <w:tcW w:w="1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Arial" w:cs="Arial" w:eastAsia="Arial" w:hAnsi="Arial"/>
                <w:sz w:val="14"/>
                <w:szCs w:val="14"/>
                <w:b w:val="1"/>
                <w:bCs w:val="1"/>
                <w:color w:val="auto"/>
              </w:rPr>
              <w:t>Balance at November 1, 2009</w:t>
            </w:r>
          </w:p>
        </w:tc>
        <w:tc>
          <w:tcPr>
            <w:tcW w:w="16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53,011</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6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432,160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(26,546)</w:t>
            </w: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(1,076)</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(505)</w:t>
            </w: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(6,389)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98"/>
              </w:rPr>
              <w:t>399,755</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49,941</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449,696</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Comprehensive income:</w:t>
            </w:r>
          </w:p>
        </w:tc>
        <w:tc>
          <w:tcPr>
            <w:tcW w:w="16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23,922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23,922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1,160</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25,082</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Unrealized holding gains</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147</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147</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Less: reclassification adjustments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129</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w w:val="87"/>
              </w:rPr>
              <w:t>Foreign currency translation adjustments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13,451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13,451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13,451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3,123</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16,574</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OCI reclassification</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(214)</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214</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Arial" w:cs="Arial" w:eastAsia="Arial" w:hAnsi="Arial"/>
                <w:sz w:val="14"/>
                <w:szCs w:val="14"/>
                <w:color w:val="auto"/>
              </w:rPr>
              <w:t>Other</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1"/>
              </w:rPr>
              <w:t>(129)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Total comprehensive income</w:t>
            </w:r>
          </w:p>
        </w:tc>
        <w:tc>
          <w:tcPr>
            <w:tcW w:w="160" w:type="dxa"/>
            <w:vAlign w:val="bottom"/>
            <w:tcBorders>
              <w:bottom w:val="single" w:sz="8" w:color="C0C0C0"/>
            </w:tcBorders>
            <w:shd w:val="clear" w:color="auto" w:fill="C0C0C0"/>
          </w:tcPr>
          <w:p>
            <w:pPr>
              <w:spacing w:after="0"/>
              <w:rPr>
                <w:sz w:val="20"/>
                <w:szCs w:val="20"/>
                <w:color w:val="auto"/>
              </w:rPr>
            </w:pPr>
          </w:p>
        </w:tc>
        <w:tc>
          <w:tcPr>
            <w:tcW w:w="4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5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right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4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38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37,373</w:t>
            </w:r>
          </w:p>
        </w:tc>
        <w:tc>
          <w:tcPr>
            <w:tcW w:w="16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4,201</w:t>
            </w:r>
          </w:p>
        </w:tc>
        <w:tc>
          <w:tcPr>
            <w:tcW w:w="16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41,574</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Arial" w:cs="Arial" w:eastAsia="Arial" w:hAnsi="Arial"/>
                <w:sz w:val="14"/>
                <w:szCs w:val="14"/>
                <w:color w:val="auto"/>
                <w:w w:val="96"/>
              </w:rPr>
              <w:t>Sale of common stock through employee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240"/>
              <w:spacing w:after="0"/>
              <w:rPr>
                <w:sz w:val="20"/>
                <w:szCs w:val="20"/>
                <w:color w:val="auto"/>
              </w:rPr>
            </w:pPr>
            <w:r>
              <w:rPr>
                <w:rFonts w:ascii="Arial" w:cs="Arial" w:eastAsia="Arial" w:hAnsi="Arial"/>
                <w:sz w:val="14"/>
                <w:szCs w:val="14"/>
                <w:color w:val="auto"/>
              </w:rPr>
              <w:t>stock option and purchase plan</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242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522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85"/>
              </w:rPr>
              <w:t>Restricted stock awards vestings and expense</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58</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510</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Stock options and ESPP expense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1,374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warrants exercised</w:t>
            </w:r>
          </w:p>
        </w:tc>
        <w:tc>
          <w:tcPr>
            <w:tcW w:w="5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468</w:t>
            </w:r>
          </w:p>
        </w:tc>
        <w:tc>
          <w:tcPr>
            <w:tcW w:w="1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2,235</w:t>
            </w: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2,240</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2,240</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20"/>
                <w:szCs w:val="20"/>
                <w:color w:val="auto"/>
              </w:rPr>
            </w:pPr>
            <w:r>
              <w:rPr>
                <w:rFonts w:ascii="Arial" w:cs="Arial" w:eastAsia="Arial" w:hAnsi="Arial"/>
                <w:sz w:val="14"/>
                <w:szCs w:val="14"/>
                <w:color w:val="auto"/>
              </w:rPr>
              <w:t>Common stock issuance costs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41"/>
        </w:trPr>
        <w:tc>
          <w:tcPr>
            <w:tcW w:w="24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October 31, 2010</w:t>
            </w:r>
          </w:p>
        </w:tc>
        <w:tc>
          <w:tcPr>
            <w:tcW w:w="160" w:type="dxa"/>
            <w:vAlign w:val="bottom"/>
            <w:tcBorders>
              <w:bottom w:val="single" w:sz="8" w:color="C0C0C0"/>
            </w:tcBorders>
            <w:shd w:val="clear" w:color="auto" w:fill="C0C0C0"/>
          </w:tcPr>
          <w:p>
            <w:pPr>
              <w:spacing w:after="0"/>
              <w:rPr>
                <w:sz w:val="18"/>
                <w:szCs w:val="18"/>
                <w:color w:val="auto"/>
              </w:rPr>
            </w:pPr>
          </w:p>
        </w:tc>
        <w:tc>
          <w:tcPr>
            <w:tcW w:w="4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8"/>
              </w:rPr>
              <w:t>53,779</w:t>
            </w:r>
          </w:p>
        </w:tc>
        <w:tc>
          <w:tcPr>
            <w:tcW w:w="340" w:type="dxa"/>
            <w:vAlign w:val="bottom"/>
            <w:tcBorders>
              <w:bottom w:val="single" w:sz="8" w:color="C0C0C0"/>
            </w:tcBorders>
            <w:gridSpan w:val="2"/>
            <w:shd w:val="clear" w:color="auto" w:fill="C0C0C0"/>
          </w:tcPr>
          <w:p>
            <w:pPr>
              <w:ind w:lef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538</w:t>
            </w:r>
          </w:p>
        </w:tc>
        <w:tc>
          <w:tcPr>
            <w:tcW w:w="16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w w:val="85"/>
              </w:rPr>
              <w:t>$436,825</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(2,624)</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right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(947)</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8,429</w:t>
            </w:r>
          </w:p>
        </w:tc>
        <w:tc>
          <w:tcPr>
            <w:tcW w:w="80" w:type="dxa"/>
            <w:vAlign w:val="bottom"/>
            <w:tcBorders>
              <w:bottom w:val="single" w:sz="8" w:color="C0C0C0"/>
            </w:tcBorders>
            <w:shd w:val="clear" w:color="auto" w:fill="C0C0C0"/>
          </w:tcPr>
          <w:p>
            <w:pPr>
              <w:spacing w:after="0"/>
              <w:rPr>
                <w:sz w:val="18"/>
                <w:szCs w:val="18"/>
                <w:color w:val="auto"/>
              </w:rPr>
            </w:pPr>
          </w:p>
        </w:tc>
        <w:tc>
          <w:tcPr>
            <w:tcW w:w="18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1"/>
              </w:rPr>
              <w:t>(420)</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7,062</w:t>
            </w:r>
          </w:p>
        </w:tc>
        <w:tc>
          <w:tcPr>
            <w:tcW w:w="2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w w:val="98"/>
              </w:rPr>
              <w:t>441,801</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54,142</w:t>
            </w:r>
          </w:p>
        </w:tc>
        <w:tc>
          <w:tcPr>
            <w:tcW w:w="1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6"/>
              </w:rPr>
              <w:t>$ 495,943</w:t>
            </w:r>
          </w:p>
        </w:tc>
        <w:tc>
          <w:tcPr>
            <w:tcW w:w="0" w:type="dxa"/>
            <w:vAlign w:val="bottom"/>
          </w:tcPr>
          <w:p>
            <w:pPr>
              <w:spacing w:after="0"/>
              <w:rPr>
                <w:sz w:val="1"/>
                <w:szCs w:val="1"/>
                <w:color w:val="auto"/>
              </w:rPr>
            </w:pPr>
          </w:p>
        </w:tc>
      </w:tr>
      <w:tr>
        <w:trPr>
          <w:trHeight w:val="27"/>
        </w:trPr>
        <w:tc>
          <w:tcPr>
            <w:tcW w:w="248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0C0C0"/>
            </w:tcBorders>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8"/>
        </w:trPr>
        <w:tc>
          <w:tcPr>
            <w:tcW w:w="7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November 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86"/>
              </w:rPr>
              <w:t>November 2,</w:t>
            </w:r>
          </w:p>
        </w:tc>
      </w:tr>
      <w:tr>
        <w:trPr>
          <w:trHeight w:val="251"/>
        </w:trPr>
        <w:tc>
          <w:tcPr>
            <w:tcW w:w="720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25,082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(41,427)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(209,391)</w:t>
            </w:r>
          </w:p>
        </w:tc>
      </w:tr>
      <w:tr>
        <w:trPr>
          <w:trHeight w:val="235"/>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(loss)</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r>
      <w:tr>
        <w:trPr>
          <w:trHeight w:val="259"/>
        </w:trPr>
        <w:tc>
          <w:tcPr>
            <w:tcW w:w="72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 net cash provided by operating activities:</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r>
      <w:tr>
        <w:trPr>
          <w:trHeight w:val="228"/>
        </w:trPr>
        <w:tc>
          <w:tcPr>
            <w:tcW w:w="7200" w:type="dxa"/>
            <w:vAlign w:val="bottom"/>
          </w:tcPr>
          <w:p>
            <w:pPr>
              <w:ind w:left="620"/>
              <w:spacing w:after="0"/>
              <w:rPr>
                <w:sz w:val="20"/>
                <w:szCs w:val="20"/>
                <w:color w:val="auto"/>
              </w:rPr>
            </w:pPr>
            <w:r>
              <w:rPr>
                <w:rFonts w:ascii="Arial" w:cs="Arial" w:eastAsia="Arial" w:hAnsi="Arial"/>
                <w:sz w:val="18"/>
                <w:szCs w:val="18"/>
                <w:color w:val="auto"/>
              </w:rPr>
              <w:t>Depreciation and amortization of property,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1"/>
        </w:trPr>
        <w:tc>
          <w:tcPr>
            <w:tcW w:w="7200" w:type="dxa"/>
            <w:vAlign w:val="bottom"/>
          </w:tcPr>
          <w:p>
            <w:pPr>
              <w:ind w:left="920"/>
              <w:spacing w:after="0"/>
              <w:rPr>
                <w:sz w:val="20"/>
                <w:szCs w:val="20"/>
                <w:color w:val="auto"/>
              </w:rPr>
            </w:pPr>
            <w:r>
              <w:rPr>
                <w:rFonts w:ascii="Arial" w:cs="Arial" w:eastAsia="Arial" w:hAnsi="Arial"/>
                <w:sz w:val="18"/>
                <w:szCs w:val="18"/>
                <w:color w:val="auto"/>
              </w:rPr>
              <w:t>plant and equipment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81,374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76,530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95,931</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Amortization of deferred financing costs and intangible 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8,926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13,944</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8,001</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Consolidation, restructuring and related charges (credits)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510</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1,883</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2,136</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2,622</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Impairment of long-lived 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1,458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66,874</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Gain on sale of facility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Impairment of goodwill</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138,534</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7200" w:type="dxa"/>
            <w:vAlign w:val="bottom"/>
            <w:shd w:val="clear" w:color="auto" w:fill="C0C0C0"/>
          </w:tcPr>
          <w:p>
            <w:pPr>
              <w:ind w:left="9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(13,352)</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2,709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(7,310)</w:t>
            </w:r>
          </w:p>
        </w:tc>
      </w:tr>
      <w:tr>
        <w:trPr>
          <w:trHeight w:val="235"/>
        </w:trPr>
        <w:tc>
          <w:tcPr>
            <w:tcW w:w="720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(2,622)</w:t>
            </w:r>
          </w:p>
        </w:tc>
      </w:tr>
      <w:tr>
        <w:trPr>
          <w:trHeight w:val="251"/>
        </w:trPr>
        <w:tc>
          <w:tcPr>
            <w:tcW w:w="7200" w:type="dxa"/>
            <w:vAlign w:val="bottom"/>
            <w:shd w:val="clear" w:color="auto" w:fill="C0C0C0"/>
          </w:tcPr>
          <w:p>
            <w:pPr>
              <w:ind w:left="92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3,087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(4,410)</w:t>
            </w:r>
          </w:p>
        </w:tc>
      </w:tr>
      <w:tr>
        <w:trPr>
          <w:trHeight w:val="237"/>
        </w:trPr>
        <w:tc>
          <w:tcPr>
            <w:tcW w:w="7200" w:type="dxa"/>
            <w:vAlign w:val="bottom"/>
            <w:tcBorders>
              <w:bottom w:val="single" w:sz="8" w:color="C0C0C0"/>
            </w:tcBorders>
          </w:tcPr>
          <w:p>
            <w:pPr>
              <w:ind w:left="920"/>
              <w:spacing w:after="0"/>
              <w:rPr>
                <w:sz w:val="20"/>
                <w:szCs w:val="20"/>
                <w:color w:val="auto"/>
              </w:rPr>
            </w:pPr>
            <w:r>
              <w:rPr>
                <w:rFonts w:ascii="Arial" w:cs="Arial" w:eastAsia="Arial" w:hAnsi="Arial"/>
                <w:sz w:val="18"/>
                <w:szCs w:val="18"/>
                <w:color w:val="auto"/>
              </w:rPr>
              <w:t>Accounts payable, accrued liabilities and other</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1,063</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5,285</w:t>
            </w: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95,919</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68,148</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92,080</w:t>
            </w: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(71,381)</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(34,995)</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(105,125)</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Proceeds from sale of facilities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Proceeds from sales of short-term investments and other</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1,158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3,815</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Return of investment from joint venture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Purchases of short-term investments and other</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720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Investment in joint venture</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(58,212)</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(24,678)</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(99,235)</w:t>
            </w: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Proceeds from long-term borrowings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41,680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28,112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139,640</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Repayments of long-term borrowings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(161,841)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(176,009)</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Deferred financing costs and other</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(1,204)</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(4,734)</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(3,790)</w:t>
            </w:r>
          </w:p>
        </w:tc>
      </w:tr>
      <w:tr>
        <w:trPr>
          <w:trHeight w:val="235"/>
        </w:trPr>
        <w:tc>
          <w:tcPr>
            <w:tcW w:w="7200" w:type="dxa"/>
            <w:vAlign w:val="bottom"/>
          </w:tcPr>
          <w:p>
            <w:pPr>
              <w:ind w:left="620"/>
              <w:spacing w:after="0"/>
              <w:rPr>
                <w:sz w:val="20"/>
                <w:szCs w:val="20"/>
                <w:color w:val="auto"/>
              </w:rPr>
            </w:pPr>
            <w:r>
              <w:rPr>
                <w:rFonts w:ascii="Arial" w:cs="Arial" w:eastAsia="Arial" w:hAnsi="Arial"/>
                <w:sz w:val="18"/>
                <w:szCs w:val="18"/>
                <w:color w:val="auto"/>
              </w:rPr>
              <w:t>Proceeds from debt and equity offerings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103,500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Payments of expenses related to debt and equity offerings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(5,539)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Payment to Micron Technology, Inc.</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(32,456)</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(40,502)</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(47,659)</w:t>
            </w:r>
          </w:p>
        </w:tc>
      </w:tr>
      <w:tr>
        <w:trPr>
          <w:trHeight w:val="230"/>
        </w:trPr>
        <w:tc>
          <w:tcPr>
            <w:tcW w:w="72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Effects of exchange rate changes on cash</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5,155</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1,808</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w:t>
            </w:r>
          </w:p>
        </w:tc>
      </w:tr>
      <w:tr>
        <w:trPr>
          <w:trHeight w:val="243"/>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10,406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4,776</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(62,286)</w:t>
            </w:r>
          </w:p>
        </w:tc>
      </w:tr>
      <w:tr>
        <w:trPr>
          <w:trHeight w:val="237"/>
        </w:trPr>
        <w:tc>
          <w:tcPr>
            <w:tcW w:w="72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88,539</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83,763</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146,049</w:t>
            </w:r>
          </w:p>
        </w:tc>
      </w:tr>
      <w:tr>
        <w:trPr>
          <w:trHeight w:val="262"/>
        </w:trPr>
        <w:tc>
          <w:tcPr>
            <w:tcW w:w="720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98,945</w:t>
            </w: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88,539</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83,763</w:t>
            </w:r>
          </w:p>
        </w:tc>
      </w:tr>
      <w:tr>
        <w:trPr>
          <w:trHeight w:val="223"/>
        </w:trPr>
        <w:tc>
          <w:tcPr>
            <w:tcW w:w="720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35"/>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Changes in accrual for purchases of property,</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r>
      <w:tr>
        <w:trPr>
          <w:trHeight w:val="259"/>
        </w:trPr>
        <w:tc>
          <w:tcPr>
            <w:tcW w:w="7200" w:type="dxa"/>
            <w:vAlign w:val="bottom"/>
            <w:shd w:val="clear" w:color="auto" w:fill="C0C0C0"/>
          </w:tcPr>
          <w:p>
            <w:pPr>
              <w:ind w:left="920"/>
              <w:spacing w:after="0"/>
              <w:rPr>
                <w:sz w:val="20"/>
                <w:szCs w:val="20"/>
                <w:color w:val="auto"/>
              </w:rPr>
            </w:pPr>
            <w:r>
              <w:rPr>
                <w:rFonts w:ascii="Arial" w:cs="Arial" w:eastAsia="Arial" w:hAnsi="Arial"/>
                <w:sz w:val="18"/>
                <w:szCs w:val="18"/>
                <w:color w:val="auto"/>
              </w:rPr>
              <w:t>plant and equipment</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28,717</w:t>
            </w: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(13,551)</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(46,769)</w:t>
            </w:r>
          </w:p>
        </w:tc>
      </w:tr>
      <w:tr>
        <w:trPr>
          <w:trHeight w:val="228"/>
        </w:trPr>
        <w:tc>
          <w:tcPr>
            <w:tcW w:w="7200" w:type="dxa"/>
            <w:vAlign w:val="bottom"/>
          </w:tcPr>
          <w:p>
            <w:pPr>
              <w:ind w:left="620"/>
              <w:spacing w:after="0"/>
              <w:rPr>
                <w:sz w:val="20"/>
                <w:szCs w:val="20"/>
                <w:color w:val="auto"/>
              </w:rPr>
            </w:pPr>
            <w:r>
              <w:rPr>
                <w:rFonts w:ascii="Arial" w:cs="Arial" w:eastAsia="Arial" w:hAnsi="Arial"/>
                <w:sz w:val="18"/>
                <w:szCs w:val="18"/>
                <w:color w:val="auto"/>
              </w:rPr>
              <w:t>Capital lease obligation for purchases of property,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1"/>
        </w:trPr>
        <w:tc>
          <w:tcPr>
            <w:tcW w:w="7200" w:type="dxa"/>
            <w:vAlign w:val="bottom"/>
          </w:tcPr>
          <w:p>
            <w:pPr>
              <w:ind w:left="920"/>
              <w:spacing w:after="0"/>
              <w:rPr>
                <w:sz w:val="20"/>
                <w:szCs w:val="20"/>
                <w:color w:val="auto"/>
              </w:rPr>
            </w:pPr>
            <w:r>
              <w:rPr>
                <w:rFonts w:ascii="Arial" w:cs="Arial" w:eastAsia="Arial" w:hAnsi="Arial"/>
                <w:sz w:val="18"/>
                <w:szCs w:val="18"/>
                <w:color w:val="auto"/>
              </w:rPr>
              <w:t>plant and equipment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(28,244)</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61,662</w:t>
            </w:r>
          </w:p>
        </w:tc>
      </w:tr>
      <w:tr>
        <w:trPr>
          <w:trHeight w:val="251"/>
        </w:trPr>
        <w:tc>
          <w:tcPr>
            <w:tcW w:w="72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Issuances of common stock warrants</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5,320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31, 2010, November 1, 2009 and November 2,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8" w:lineRule="exact"/>
        <w:rPr>
          <w:sz w:val="20"/>
          <w:szCs w:val="20"/>
          <w:color w:val="auto"/>
        </w:rPr>
      </w:pPr>
    </w:p>
    <w:p>
      <w:pPr>
        <w:ind w:right="300" w:firstLine="270"/>
        <w:spacing w:after="0" w:line="291" w:lineRule="auto"/>
        <w:rPr>
          <w:sz w:val="20"/>
          <w:szCs w:val="20"/>
          <w:color w:val="auto"/>
        </w:rPr>
      </w:pPr>
      <w:r>
        <w:rPr>
          <w:rFonts w:ascii="Arial" w:cs="Arial" w:eastAsia="Arial" w:hAnsi="Arial"/>
          <w:sz w:val="16"/>
          <w:szCs w:val="16"/>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each in Korea and Singapore, and three in the United States. The Company closed its manufacturing facilities in Manchester, United Kingdom, and Shanghai, China, during the year ended November 1, 2009.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accompanying consolidated financial statements include the accounts of Photronics, Inc. and its majority-owned subsidiaries that the Company controls.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8" w:lineRule="exact"/>
        <w:rPr>
          <w:sz w:val="20"/>
          <w:szCs w:val="20"/>
          <w:color w:val="auto"/>
        </w:rPr>
      </w:pPr>
    </w:p>
    <w:p>
      <w:pPr>
        <w:ind w:right="120" w:firstLine="270"/>
        <w:spacing w:after="0" w:line="33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amounts reported in them. Actual results may differ from such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reported in the consolidated statements of operations, or as accumulated other comprehensive income or loss ("OCI"),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8"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2010 and 2009 included 52 weeks, while fiscal year 2008 included 53 weeks. Fiscal year 2011 will include 52 weeks.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8"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Inventories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principally raw materials, are stated at the lower of cost, determined under the first-in, first-out ("FIFO") method, or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224"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 e recoverable.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58"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Intangible assets consist primarily of a technology license agreement, a supply agreement, acquisition-related intangibles, and prior to July 27, 2008, goodwill. These assets, except as explained below, are stated at fair value as of the date acquired less accumulated amortization. Amortization is calculated using the straight-line method or another method that more fairly represents the utilization of the assets.</w:t>
      </w:r>
    </w:p>
    <w:p>
      <w:pPr>
        <w:spacing w:after="0" w:line="221"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periodically evaluates the remaining useful lives of its intangible assets (other than goodwill)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The Company, for purposes of testing its goodwill for impairment, was a single reporting unit. If the fair value of the reporting unit exceeded the carrying value of its net assets, goodwill was considered not impaired and no further testing was required. If the carrying value of its net assets exceeded the fair value of the reporting unit, a second step of the impairment test was performed in order to determine the implied fair value of a reporting unit's goodwill. Determining the implied fair v alue of goodwill required a valuation of the reporting unit's tangible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 As a result of a test performed in the third quarter of fiscal 2008, the Company wrote off all of its $138.5 million of goodwill.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8"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8"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Investments in joint ventures over which the Company has the ability to exercise significant influence and that, in general, are at least 20 percent owned are stated at cost plus equity in undistributed net income (loss) of the joint venture. An impairment loss would be recognized whenever a decline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firstLine="270"/>
        <w:spacing w:after="0" w:line="323" w:lineRule="auto"/>
        <w:rPr>
          <w:sz w:val="20"/>
          <w:szCs w:val="20"/>
          <w:color w:val="auto"/>
        </w:rPr>
      </w:pPr>
      <w:r>
        <w:rPr>
          <w:rFonts w:ascii="Arial" w:cs="Arial" w:eastAsia="Arial" w:hAnsi="Arial"/>
          <w:sz w:val="15"/>
          <w:szCs w:val="15"/>
          <w:color w:val="auto"/>
        </w:rPr>
        <w:t>The income tax (provision) benefit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more likely than not, by considering future market growth, forecasted operations, future taxable income, and the mix of earnings in the tax jurisdictions in which it operates.</w:t>
      </w:r>
    </w:p>
    <w:p>
      <w:pPr>
        <w:spacing w:after="0" w:line="179"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realization is deemed not more likely than not. Accordingly, the income taxes in the consolidated statements of operations are impacted by changes in the valuation allowance. Significant management estimates and judgment are required in determining any valuation al lowances recorded against net deferred tax assets. 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8" w:lineRule="exact"/>
        <w:rPr>
          <w:sz w:val="20"/>
          <w:szCs w:val="20"/>
          <w:color w:val="auto"/>
        </w:rPr>
      </w:pPr>
    </w:p>
    <w:p>
      <w:pPr>
        <w:jc w:val="both"/>
        <w:ind w:right="340" w:firstLine="270"/>
        <w:spacing w:after="0" w:line="259"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8" w:lineRule="exact"/>
        <w:rPr>
          <w:sz w:val="20"/>
          <w:szCs w:val="20"/>
          <w:color w:val="auto"/>
        </w:rPr>
      </w:pPr>
    </w:p>
    <w:p>
      <w:pPr>
        <w:ind w:right="20" w:firstLine="270"/>
        <w:spacing w:after="0" w:line="307" w:lineRule="auto"/>
        <w:rPr>
          <w:sz w:val="20"/>
          <w:szCs w:val="20"/>
          <w:color w:val="auto"/>
        </w:rPr>
      </w:pPr>
      <w:r>
        <w:rPr>
          <w:rFonts w:ascii="Arial" w:cs="Arial" w:eastAsia="Arial" w:hAnsi="Arial"/>
          <w:sz w:val="15"/>
          <w:szCs w:val="15"/>
          <w:color w:val="auto"/>
        </w:rPr>
        <w:t>The Company adopted Financial Accounting Standards Board (FASB) Accounting Standards Codification (ASC) 718 relating to share-based payments on October 31, 2005, using the modified prospective method described in Statement of Financial Accounting Standards No. 123 (revised 2004), "Share-Based Payment". Subsequently, compensation expense is recognized in its consolidated statements of operations over the service period that the awards are expected to vest. The Company recognizes expense for all share-based compensation with graded vesting granted on or after October 31, 2005, on a straight-line basis over the vesting period of the entire award. For awards with graded vesting granted prior to October 31, 2005, the Company recognized compensation cost over the vesting period following accelerated recognition as if each underlying ves ting date represented a separate award.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The Company adopted the alternative transition method provided in Financial Accounting Standards Board ("FASB") Staff Position No. 123(R)-3 for calculating the tax effects of share-based compensation.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jc w:val="both"/>
        <w:ind w:right="120" w:firstLine="270"/>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8" w:lineRule="exact"/>
        <w:rPr>
          <w:sz w:val="20"/>
          <w:szCs w:val="20"/>
          <w:color w:val="auto"/>
        </w:rPr>
      </w:pPr>
    </w:p>
    <w:p>
      <w:pPr>
        <w:ind w:right="160" w:firstLine="270"/>
        <w:spacing w:after="0" w:line="256"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carrying value of a technology license agreement with Micron Technologies, Inc. (Micron). Under this technology license agreement, the Company has access to certain photomask technology developed by Micron.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8"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other comprehensive income (or loss) as a separate component of equity. The effects of changes in exchange rates on foreign currency transactions, which are included in investment and other income (expense), net, were a gain of $2.0 million, a loss of $3.1 million and a gain of $3.8 million in 2010, 2009 and 2008,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Noncontrolling interests (formerly referred to as "minority interests") represents the minority shareholders' proportionate share in the equity of the Company's two majority-owned subsidiaries, PK Ltd. ("PKL") in Korea, and Photronics Semiconductor Mask Corporation ("PSMC") in Taiwan, of which noncontrolling interests owned approximately 0.3% and 42%, respectively, as of October 31, 2010 and November 1, 2009.</w:t>
      </w:r>
    </w:p>
    <w:p>
      <w:pPr>
        <w:spacing w:after="0" w:line="221"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On November 2, 2009, the Company adopted new accounting standards for noncontrolling interests, as set forth in the Consolidation Topic No. 810 of the Accounting Standards Codification. These standards require companies to classify expenses related to noncontrolling interests' share in income (loss) below net income (loss). Earnings per share continues to be determined after the impact of the noncontrolling interests' share in net income (loss) of the Company. In addition, these standards require noncontrolling interests to be presented on the consolidated balance sheets as a separate caption within equity. The presentation and disclosure requirements of these standards were retrospectively applied. The adoption of these standards resulted in the below reclassifications of noncontrolling interests (in the consolidated balance sheets) to equity.&lt; /div&gt;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Reclassification</w:t>
            </w:r>
          </w:p>
        </w:tc>
      </w:tr>
      <w:tr>
        <w:trPr>
          <w:trHeight w:val="252"/>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280" w:type="dxa"/>
            <w:vAlign w:val="bottom"/>
            <w:tcBorders>
              <w:bottom w:val="single" w:sz="8" w:color="C0C0C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43"/>
        </w:trPr>
        <w:tc>
          <w:tcPr>
            <w:tcW w:w="79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November 1, 2009</w:t>
            </w:r>
          </w:p>
        </w:tc>
        <w:tc>
          <w:tcPr>
            <w:tcW w:w="320" w:type="dxa"/>
            <w:vAlign w:val="bottom"/>
            <w:shd w:val="clear" w:color="auto" w:fill="C0C0C0"/>
          </w:tcPr>
          <w:p>
            <w:pPr>
              <w:jc w:val="right"/>
              <w:ind w:right="158"/>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49,941</w:t>
            </w:r>
          </w:p>
        </w:tc>
      </w:tr>
      <w:tr>
        <w:trPr>
          <w:trHeight w:val="235"/>
        </w:trPr>
        <w:tc>
          <w:tcPr>
            <w:tcW w:w="7980" w:type="dxa"/>
            <w:vAlign w:val="bottom"/>
            <w:gridSpan w:val="2"/>
          </w:tcPr>
          <w:p>
            <w:pPr>
              <w:spacing w:after="0"/>
              <w:rPr>
                <w:sz w:val="20"/>
                <w:szCs w:val="20"/>
                <w:color w:val="auto"/>
              </w:rPr>
            </w:pPr>
            <w:r>
              <w:rPr>
                <w:rFonts w:ascii="Arial" w:cs="Arial" w:eastAsia="Arial" w:hAnsi="Arial"/>
                <w:sz w:val="18"/>
                <w:szCs w:val="18"/>
                <w:color w:val="auto"/>
              </w:rPr>
              <w:t>November 2, 2008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49,616</w:t>
            </w:r>
          </w:p>
        </w:tc>
      </w:tr>
      <w:tr>
        <w:trPr>
          <w:trHeight w:val="251"/>
        </w:trPr>
        <w:tc>
          <w:tcPr>
            <w:tcW w:w="79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October 28, 2007</w:t>
            </w:r>
          </w:p>
        </w:tc>
        <w:tc>
          <w:tcPr>
            <w:tcW w:w="3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49,465</w:t>
            </w:r>
          </w:p>
        </w:tc>
      </w:tr>
    </w:tbl>
    <w:p>
      <w:pPr>
        <w:spacing w:after="0" w:line="235" w:lineRule="exact"/>
        <w:rPr>
          <w:sz w:val="20"/>
          <w:szCs w:val="20"/>
          <w:color w:val="auto"/>
        </w:rPr>
      </w:pPr>
    </w:p>
    <w:p>
      <w:pPr>
        <w:ind w:right="800" w:firstLine="270"/>
        <w:spacing w:after="0" w:line="268" w:lineRule="auto"/>
        <w:rPr>
          <w:sz w:val="20"/>
          <w:szCs w:val="20"/>
          <w:color w:val="auto"/>
        </w:rPr>
      </w:pPr>
      <w:r>
        <w:rPr>
          <w:rFonts w:ascii="Arial" w:cs="Arial" w:eastAsia="Arial" w:hAnsi="Arial"/>
          <w:sz w:val="18"/>
          <w:szCs w:val="18"/>
          <w:color w:val="auto"/>
        </w:rPr>
        <w:t>During the fiscal years presented, there were no changes in the Company's ownership interests in PKL or PSMC that affected the amount of equity attributable to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The Company recognizes revenue when there is persuasive evidence that an arrangement exists, delivery has occurred, the sales price is fixed or determinable, and collectability is reasonably assured. The Company uses judgment when estimating the effect on revenue of discounts and product warranty obligations, both of which are accrued when the related revenue is recognized.</w:t>
      </w:r>
    </w:p>
    <w:p>
      <w:pPr>
        <w:spacing w:after="0" w:line="221"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Sales Taxes</w:t>
      </w:r>
      <w:r>
        <w:rPr>
          <w:rFonts w:ascii="Arial" w:cs="Arial" w:eastAsia="Arial" w:hAnsi="Arial"/>
          <w:sz w:val="16"/>
          <w:szCs w:val="16"/>
          <w:color w:val="auto"/>
        </w:rPr>
        <w:t xml:space="preserve"> - The Company presents it revenues in the consolidated statements of income, net of sales taxes, if any (excluded from revenues).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20"/>
                <w:szCs w:val="20"/>
                <w:color w:val="auto"/>
              </w:rPr>
            </w:pPr>
            <w:r>
              <w:rPr>
                <w:rFonts w:ascii="Arial" w:cs="Arial" w:eastAsia="Arial" w:hAnsi="Arial"/>
                <w:sz w:val="18"/>
                <w:szCs w:val="18"/>
                <w:b w:val="1"/>
                <w:bCs w:val="1"/>
                <w:color w:val="auto"/>
              </w:rPr>
              <w:t>NOTE 2 - PROPERTY, PLANT AND EQUIPMENT</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59"/>
        </w:trPr>
        <w:tc>
          <w:tcPr>
            <w:tcW w:w="5520" w:type="dxa"/>
            <w:vAlign w:val="bottom"/>
          </w:tcPr>
          <w:p>
            <w:pPr>
              <w:ind w:left="280"/>
              <w:spacing w:after="0"/>
              <w:rPr>
                <w:sz w:val="20"/>
                <w:szCs w:val="20"/>
                <w:color w:val="auto"/>
              </w:rPr>
            </w:pPr>
            <w:r>
              <w:rPr>
                <w:rFonts w:ascii="Arial" w:cs="Arial" w:eastAsia="Arial" w:hAnsi="Arial"/>
                <w:sz w:val="18"/>
                <w:szCs w:val="18"/>
                <w:color w:val="auto"/>
              </w:rPr>
              <w:t>Property, plant and equipment consists of the following:</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6"/>
        </w:trPr>
        <w:tc>
          <w:tcPr>
            <w:tcW w:w="5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1,</w:t>
            </w:r>
          </w:p>
        </w:tc>
      </w:tr>
      <w:tr>
        <w:trPr>
          <w:trHeight w:val="252"/>
        </w:trPr>
        <w:tc>
          <w:tcPr>
            <w:tcW w:w="5520" w:type="dxa"/>
            <w:vAlign w:val="bottom"/>
            <w:tcBorders>
              <w:bottom w:val="single" w:sz="8" w:color="C0C0C0"/>
            </w:tcBorders>
          </w:tcPr>
          <w:p>
            <w:pPr>
              <w:spacing w:after="0"/>
              <w:rPr>
                <w:sz w:val="21"/>
                <w:szCs w:val="21"/>
                <w:color w:val="auto"/>
              </w:rPr>
            </w:pPr>
          </w:p>
        </w:tc>
        <w:tc>
          <w:tcPr>
            <w:tcW w:w="13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43"/>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Land</w:t>
            </w:r>
          </w:p>
        </w:tc>
        <w:tc>
          <w:tcPr>
            <w:tcW w:w="150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7,983</w:t>
            </w:r>
          </w:p>
        </w:tc>
        <w:tc>
          <w:tcPr>
            <w:tcW w:w="3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7,901</w:t>
            </w: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80,458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91,167</w:t>
            </w:r>
          </w:p>
        </w:tc>
      </w:tr>
      <w:tr>
        <w:trPr>
          <w:trHeight w:val="251"/>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Machinery and equipment</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1,115,371</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1,001,085</w:t>
            </w:r>
          </w:p>
        </w:tc>
      </w:tr>
      <w:tr>
        <w:trPr>
          <w:trHeight w:val="235"/>
        </w:trPr>
        <w:tc>
          <w:tcPr>
            <w:tcW w:w="5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7,338</w:t>
            </w:r>
          </w:p>
        </w:tc>
      </w:tr>
      <w:tr>
        <w:trPr>
          <w:trHeight w:val="251"/>
        </w:trPr>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Furniture, fixtures and office equipment</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15,273</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15,351</w:t>
            </w:r>
          </w:p>
        </w:tc>
      </w:tr>
      <w:tr>
        <w:trPr>
          <w:trHeight w:val="237"/>
        </w:trPr>
        <w:tc>
          <w:tcPr>
            <w:tcW w:w="55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Construction in progress</w:t>
            </w:r>
          </w:p>
        </w:tc>
        <w:tc>
          <w:tcPr>
            <w:tcW w:w="13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17,183</w:t>
            </w:r>
          </w:p>
        </w:tc>
      </w:tr>
      <w:tr>
        <w:trPr>
          <w:trHeight w:val="243"/>
        </w:trPr>
        <w:tc>
          <w:tcPr>
            <w:tcW w:w="5520" w:type="dxa"/>
            <w:vAlign w:val="bottom"/>
            <w:shd w:val="clear" w:color="auto" w:fill="C0C0C0"/>
          </w:tcPr>
          <w:p>
            <w:pPr>
              <w:spacing w:after="0"/>
              <w:rPr>
                <w:sz w:val="21"/>
                <w:szCs w:val="21"/>
                <w:color w:val="auto"/>
              </w:rPr>
            </w:pP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1,252,997</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1,140,025</w:t>
            </w:r>
          </w:p>
        </w:tc>
      </w:tr>
      <w:tr>
        <w:trPr>
          <w:trHeight w:val="237"/>
        </w:trPr>
        <w:tc>
          <w:tcPr>
            <w:tcW w:w="55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883,183</w:t>
            </w: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792,136</w:t>
            </w:r>
          </w:p>
        </w:tc>
      </w:tr>
      <w:tr>
        <w:trPr>
          <w:trHeight w:val="235"/>
        </w:trPr>
        <w:tc>
          <w:tcPr>
            <w:tcW w:w="5520" w:type="dxa"/>
            <w:vAlign w:val="bottom"/>
            <w:shd w:val="clear" w:color="auto" w:fill="C0C0C0"/>
          </w:tcPr>
          <w:p>
            <w:pPr>
              <w:spacing w:after="0"/>
              <w:rPr>
                <w:sz w:val="20"/>
                <w:szCs w:val="20"/>
                <w:color w:val="auto"/>
              </w:rPr>
            </w:pPr>
          </w:p>
        </w:tc>
        <w:tc>
          <w:tcPr>
            <w:tcW w:w="150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369,814</w:t>
            </w:r>
          </w:p>
        </w:tc>
        <w:tc>
          <w:tcPr>
            <w:tcW w:w="3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347,889</w:t>
            </w:r>
          </w:p>
        </w:tc>
      </w:tr>
      <w:tr>
        <w:trPr>
          <w:trHeight w:val="35"/>
        </w:trPr>
        <w:tc>
          <w:tcPr>
            <w:tcW w:w="5520" w:type="dxa"/>
            <w:vAlign w:val="bottom"/>
            <w:shd w:val="clear" w:color="auto" w:fill="C0C0C0"/>
          </w:tcPr>
          <w:p>
            <w:pPr>
              <w:spacing w:after="0"/>
              <w:rPr>
                <w:sz w:val="3"/>
                <w:szCs w:val="3"/>
                <w:color w:val="auto"/>
              </w:rPr>
            </w:pPr>
          </w:p>
        </w:tc>
        <w:tc>
          <w:tcPr>
            <w:tcW w:w="130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r>
    </w:tbl>
    <w:p>
      <w:pPr>
        <w:spacing w:after="0" w:line="2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under capital leases are included in above property, plant and equipment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9"/>
                <w:szCs w:val="19"/>
                <w:color w:val="auto"/>
              </w:rPr>
            </w:pPr>
          </w:p>
        </w:tc>
        <w:tc>
          <w:tcPr>
            <w:tcW w:w="3360" w:type="dxa"/>
            <w:vAlign w:val="bottom"/>
            <w:gridSpan w:val="3"/>
          </w:tcPr>
          <w:p>
            <w:pPr>
              <w:ind w:left="40"/>
              <w:spacing w:after="0"/>
              <w:rPr>
                <w:sz w:val="20"/>
                <w:szCs w:val="20"/>
                <w:color w:val="auto"/>
              </w:rPr>
            </w:pPr>
            <w:r>
              <w:rPr>
                <w:rFonts w:ascii="Arial" w:cs="Arial" w:eastAsia="Arial" w:hAnsi="Arial"/>
                <w:sz w:val="18"/>
                <w:szCs w:val="18"/>
                <w:b w:val="1"/>
                <w:bCs w:val="1"/>
                <w:color w:val="auto"/>
              </w:rPr>
              <w:t>November 1,</w:t>
            </w:r>
          </w:p>
        </w:tc>
      </w:tr>
      <w:tr>
        <w:trPr>
          <w:trHeight w:val="252"/>
        </w:trPr>
        <w:tc>
          <w:tcPr>
            <w:tcW w:w="3900" w:type="dxa"/>
            <w:vAlign w:val="bottom"/>
            <w:tcBorders>
              <w:bottom w:val="single" w:sz="8" w:color="C0C0C0"/>
            </w:tcBorders>
          </w:tcPr>
          <w:p>
            <w:pPr>
              <w:spacing w:after="0"/>
              <w:rPr>
                <w:sz w:val="21"/>
                <w:szCs w:val="21"/>
                <w:color w:val="auto"/>
              </w:rPr>
            </w:pPr>
          </w:p>
        </w:tc>
        <w:tc>
          <w:tcPr>
            <w:tcW w:w="292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2300" w:type="dxa"/>
            <w:vAlign w:val="bottom"/>
          </w:tcPr>
          <w:p>
            <w:pPr>
              <w:spacing w:after="0"/>
              <w:rPr>
                <w:sz w:val="21"/>
                <w:szCs w:val="21"/>
                <w:color w:val="auto"/>
              </w:rPr>
            </w:pPr>
          </w:p>
        </w:tc>
      </w:tr>
      <w:tr>
        <w:trPr>
          <w:trHeight w:val="243"/>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Buildings and improvements</w:t>
            </w:r>
          </w:p>
        </w:tc>
        <w:tc>
          <w:tcPr>
            <w:tcW w:w="31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33,621</w:t>
            </w:r>
          </w:p>
        </w:tc>
        <w:tc>
          <w:tcPr>
            <w:tcW w:w="3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33,621</w:t>
            </w:r>
          </w:p>
        </w:tc>
        <w:tc>
          <w:tcPr>
            <w:tcW w:w="2300" w:type="dxa"/>
            <w:vAlign w:val="bottom"/>
          </w:tcPr>
          <w:p>
            <w:pPr>
              <w:spacing w:after="0"/>
              <w:rPr>
                <w:sz w:val="21"/>
                <w:szCs w:val="21"/>
                <w:color w:val="auto"/>
              </w:rPr>
            </w:pPr>
          </w:p>
        </w:tc>
      </w:tr>
      <w:tr>
        <w:trPr>
          <w:trHeight w:val="237"/>
        </w:trPr>
        <w:tc>
          <w:tcPr>
            <w:tcW w:w="39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Machinery and equipment</w:t>
            </w:r>
          </w:p>
        </w:tc>
        <w:tc>
          <w:tcPr>
            <w:tcW w:w="29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19,912</w:t>
            </w: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19,912</w:t>
            </w:r>
          </w:p>
        </w:tc>
        <w:tc>
          <w:tcPr>
            <w:tcW w:w="2300" w:type="dxa"/>
            <w:vAlign w:val="bottom"/>
          </w:tcPr>
          <w:p>
            <w:pPr>
              <w:spacing w:after="0"/>
              <w:rPr>
                <w:sz w:val="20"/>
                <w:szCs w:val="20"/>
                <w:color w:val="auto"/>
              </w:rPr>
            </w:pPr>
          </w:p>
        </w:tc>
      </w:tr>
      <w:tr>
        <w:trPr>
          <w:trHeight w:val="243"/>
        </w:trPr>
        <w:tc>
          <w:tcPr>
            <w:tcW w:w="3900" w:type="dxa"/>
            <w:vAlign w:val="bottom"/>
            <w:shd w:val="clear" w:color="auto" w:fill="C0C0C0"/>
          </w:tcPr>
          <w:p>
            <w:pPr>
              <w:spacing w:after="0"/>
              <w:rPr>
                <w:sz w:val="21"/>
                <w:szCs w:val="21"/>
                <w:color w:val="auto"/>
              </w:rPr>
            </w:pPr>
          </w:p>
        </w:tc>
        <w:tc>
          <w:tcPr>
            <w:tcW w:w="29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53,533</w:t>
            </w: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53,533</w:t>
            </w:r>
          </w:p>
        </w:tc>
        <w:tc>
          <w:tcPr>
            <w:tcW w:w="2300" w:type="dxa"/>
            <w:vAlign w:val="bottom"/>
          </w:tcPr>
          <w:p>
            <w:pPr>
              <w:spacing w:after="0"/>
              <w:rPr>
                <w:sz w:val="21"/>
                <w:szCs w:val="21"/>
                <w:color w:val="auto"/>
              </w:rPr>
            </w:pPr>
          </w:p>
        </w:tc>
      </w:tr>
      <w:tr>
        <w:trPr>
          <w:trHeight w:val="237"/>
        </w:trPr>
        <w:tc>
          <w:tcPr>
            <w:tcW w:w="39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Less accumulated amortization</w:t>
            </w:r>
          </w:p>
        </w:tc>
        <w:tc>
          <w:tcPr>
            <w:tcW w:w="29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21,082</w:t>
            </w: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10,876</w:t>
            </w:r>
          </w:p>
        </w:tc>
        <w:tc>
          <w:tcPr>
            <w:tcW w:w="2300" w:type="dxa"/>
            <w:vAlign w:val="bottom"/>
          </w:tcPr>
          <w:p>
            <w:pPr>
              <w:spacing w:after="0"/>
              <w:rPr>
                <w:sz w:val="20"/>
                <w:szCs w:val="20"/>
                <w:color w:val="auto"/>
              </w:rPr>
            </w:pPr>
          </w:p>
        </w:tc>
      </w:tr>
      <w:tr>
        <w:trPr>
          <w:trHeight w:val="257"/>
        </w:trPr>
        <w:tc>
          <w:tcPr>
            <w:tcW w:w="3900" w:type="dxa"/>
            <w:vAlign w:val="bottom"/>
            <w:shd w:val="clear" w:color="auto" w:fill="C0C0C0"/>
          </w:tcPr>
          <w:p>
            <w:pPr>
              <w:spacing w:after="0"/>
              <w:rPr>
                <w:sz w:val="22"/>
                <w:szCs w:val="22"/>
                <w:color w:val="auto"/>
              </w:rPr>
            </w:pPr>
          </w:p>
        </w:tc>
        <w:tc>
          <w:tcPr>
            <w:tcW w:w="31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32,451</w:t>
            </w:r>
          </w:p>
        </w:tc>
        <w:tc>
          <w:tcPr>
            <w:tcW w:w="3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42,657</w:t>
            </w:r>
          </w:p>
        </w:tc>
        <w:tc>
          <w:tcPr>
            <w:tcW w:w="2300" w:type="dxa"/>
            <w:vAlign w:val="bottom"/>
          </w:tcPr>
          <w:p>
            <w:pPr>
              <w:spacing w:after="0"/>
              <w:rPr>
                <w:sz w:val="22"/>
                <w:szCs w:val="22"/>
                <w:color w:val="auto"/>
              </w:rPr>
            </w:pPr>
          </w:p>
        </w:tc>
      </w:tr>
      <w:tr>
        <w:trPr>
          <w:trHeight w:val="424"/>
        </w:trPr>
        <w:tc>
          <w:tcPr>
            <w:tcW w:w="3900" w:type="dxa"/>
            <w:vAlign w:val="bottom"/>
            <w:tcBorders>
              <w:top w:val="single" w:sz="8" w:color="C0C0C0"/>
            </w:tcBorders>
          </w:tcPr>
          <w:p>
            <w:pPr>
              <w:spacing w:after="0"/>
              <w:rPr>
                <w:sz w:val="24"/>
                <w:szCs w:val="24"/>
                <w:color w:val="auto"/>
              </w:rPr>
            </w:pPr>
          </w:p>
        </w:tc>
        <w:tc>
          <w:tcPr>
            <w:tcW w:w="2920" w:type="dxa"/>
            <w:vAlign w:val="bottom"/>
            <w:tcBorders>
              <w:top w:val="single" w:sz="8" w:color="C0C0C0"/>
            </w:tcBorders>
          </w:tcPr>
          <w:p>
            <w:pPr>
              <w:jc w:val="right"/>
              <w:ind w:right="932"/>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23"/>
        </w:trPr>
        <w:tc>
          <w:tcPr>
            <w:tcW w:w="39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3 - GOODWILL AND OTHER INTANGIBLE ASSETS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discussed in Note 13 to the consolidated financial statements, the Company wrote off all of its $138.5 million of goodwill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2, 2008. Intangible assets that do not have indefinite lives are amortized based on their estimated useful lives, which range from 3 to 15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is forecasted to range from $4.8 million to $6.8 million per year for the next 5 years.</w:t>
      </w:r>
    </w:p>
    <w:p>
      <w:pPr>
        <w:spacing w:after="0" w:line="246" w:lineRule="exact"/>
        <w:rPr>
          <w:sz w:val="20"/>
          <w:szCs w:val="20"/>
          <w:color w:val="auto"/>
        </w:rPr>
      </w:pPr>
    </w:p>
    <w:p>
      <w:pPr>
        <w:ind w:right="540" w:firstLine="270"/>
        <w:spacing w:after="0" w:line="268" w:lineRule="auto"/>
        <w:rPr>
          <w:sz w:val="20"/>
          <w:szCs w:val="20"/>
          <w:color w:val="auto"/>
        </w:rPr>
      </w:pPr>
      <w:r>
        <w:rPr>
          <w:rFonts w:ascii="Arial" w:cs="Arial" w:eastAsia="Arial" w:hAnsi="Arial"/>
          <w:sz w:val="18"/>
          <w:szCs w:val="18"/>
          <w:color w:val="auto"/>
        </w:rPr>
        <w:t>Other intangible assets include assets related to the purchase of additional shares of PKL and the investment to form the MP Mask joint venture. Other intangible assets consist of:</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Net</w:t>
            </w:r>
          </w:p>
        </w:tc>
      </w:tr>
      <w:tr>
        <w:trPr>
          <w:trHeight w:val="252"/>
        </w:trPr>
        <w:tc>
          <w:tcPr>
            <w:tcW w:w="39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color w:val="auto"/>
              </w:rPr>
              <w:t>As of October 31, 2010</w:t>
            </w:r>
          </w:p>
        </w:tc>
        <w:tc>
          <w:tcPr>
            <w:tcW w:w="18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C0C0C0"/>
            </w:tcBorders>
          </w:tcPr>
          <w:p>
            <w:pPr>
              <w:spacing w:after="0"/>
              <w:rPr>
                <w:sz w:val="21"/>
                <w:szCs w:val="21"/>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6"/>
              </w:rPr>
              <w:t>Amortization</w:t>
            </w:r>
          </w:p>
        </w:tc>
        <w:tc>
          <w:tcPr>
            <w:tcW w:w="2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Amount</w:t>
            </w:r>
          </w:p>
        </w:tc>
      </w:tr>
      <w:tr>
        <w:trPr>
          <w:trHeight w:val="243"/>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license agreement</w:t>
            </w:r>
          </w:p>
        </w:tc>
        <w:tc>
          <w:tcPr>
            <w:tcW w:w="1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59,616</w:t>
            </w:r>
          </w:p>
        </w:tc>
        <w:tc>
          <w:tcPr>
            <w:tcW w:w="220" w:type="dxa"/>
            <w:vAlign w:val="bottom"/>
            <w:shd w:val="clear" w:color="auto" w:fill="C0C0C0"/>
          </w:tcPr>
          <w:p>
            <w:pPr>
              <w:spacing w:after="0"/>
              <w:rPr>
                <w:sz w:val="21"/>
                <w:szCs w:val="21"/>
                <w:color w:val="auto"/>
              </w:rPr>
            </w:pPr>
          </w:p>
        </w:tc>
        <w:tc>
          <w:tcPr>
            <w:tcW w:w="360" w:type="dxa"/>
            <w:vAlign w:val="bottom"/>
            <w:shd w:val="clear" w:color="auto" w:fill="C0C0C0"/>
          </w:tcPr>
          <w:p>
            <w:pPr>
              <w:jc w:val="right"/>
              <w:ind w:right="2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17,554</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42,062</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Customer lists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3,779</w:t>
            </w:r>
          </w:p>
        </w:tc>
      </w:tr>
      <w:tr>
        <w:trPr>
          <w:trHeight w:val="251"/>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Supply agreement</w:t>
            </w:r>
          </w:p>
        </w:tc>
        <w:tc>
          <w:tcPr>
            <w:tcW w:w="18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6,959</w:t>
            </w:r>
          </w:p>
        </w:tc>
        <w:tc>
          <w:tcPr>
            <w:tcW w:w="2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5,355</w:t>
            </w:r>
          </w:p>
        </w:tc>
        <w:tc>
          <w:tcPr>
            <w:tcW w:w="1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1,604</w:t>
            </w:r>
          </w:p>
        </w:tc>
      </w:tr>
      <w:tr>
        <w:trPr>
          <w:trHeight w:val="237"/>
        </w:trPr>
        <w:tc>
          <w:tcPr>
            <w:tcW w:w="3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Software and other</w:t>
            </w:r>
          </w:p>
        </w:tc>
        <w:tc>
          <w:tcPr>
            <w:tcW w:w="18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220" w:type="dxa"/>
            <w:vAlign w:val="bottom"/>
            <w:tcBorders>
              <w:bottom w:val="single" w:sz="8" w:color="C0C0C0"/>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2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57"/>
        </w:trPr>
        <w:tc>
          <w:tcPr>
            <w:tcW w:w="3960" w:type="dxa"/>
            <w:vAlign w:val="bottom"/>
            <w:shd w:val="clear" w:color="auto" w:fill="C0C0C0"/>
          </w:tcPr>
          <w:p>
            <w:pPr>
              <w:spacing w:after="0"/>
              <w:rPr>
                <w:sz w:val="22"/>
                <w:szCs w:val="22"/>
                <w:color w:val="auto"/>
              </w:rPr>
            </w:pPr>
          </w:p>
        </w:tc>
        <w:tc>
          <w:tcPr>
            <w:tcW w:w="1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77,648</w:t>
            </w:r>
          </w:p>
        </w:tc>
        <w:tc>
          <w:tcPr>
            <w:tcW w:w="220" w:type="dxa"/>
            <w:vAlign w:val="bottom"/>
            <w:shd w:val="clear" w:color="auto" w:fill="C0C0C0"/>
          </w:tcPr>
          <w:p>
            <w:pPr>
              <w:spacing w:after="0"/>
              <w:rPr>
                <w:sz w:val="22"/>
                <w:szCs w:val="22"/>
                <w:color w:val="auto"/>
              </w:rPr>
            </w:pPr>
          </w:p>
        </w:tc>
        <w:tc>
          <w:tcPr>
            <w:tcW w:w="360" w:type="dxa"/>
            <w:vAlign w:val="bottom"/>
            <w:shd w:val="clear" w:color="auto" w:fill="C0C0C0"/>
          </w:tcPr>
          <w:p>
            <w:pPr>
              <w:jc w:val="right"/>
              <w:ind w:right="2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29,900</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47,748</w:t>
            </w:r>
          </w:p>
        </w:tc>
      </w:tr>
      <w:tr>
        <w:trPr>
          <w:trHeight w:val="472"/>
        </w:trPr>
        <w:tc>
          <w:tcPr>
            <w:tcW w:w="3960" w:type="dxa"/>
            <w:vAlign w:val="bottom"/>
            <w:tcBorders>
              <w:top w:val="single" w:sz="8" w:color="C0C0C0"/>
            </w:tcBorders>
          </w:tcPr>
          <w:p>
            <w:pPr>
              <w:spacing w:after="0"/>
              <w:rPr>
                <w:sz w:val="20"/>
                <w:szCs w:val="20"/>
                <w:color w:val="auto"/>
              </w:rPr>
            </w:pPr>
            <w:r>
              <w:rPr>
                <w:rFonts w:ascii="Arial" w:cs="Arial" w:eastAsia="Arial" w:hAnsi="Arial"/>
                <w:sz w:val="18"/>
                <w:szCs w:val="18"/>
                <w:b w:val="1"/>
                <w:bCs w:val="1"/>
                <w:color w:val="auto"/>
              </w:rPr>
              <w:t>As of November 1, 2009</w:t>
            </w:r>
          </w:p>
        </w:tc>
        <w:tc>
          <w:tcPr>
            <w:tcW w:w="18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1"/>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license agreement</w:t>
            </w:r>
          </w:p>
        </w:tc>
        <w:tc>
          <w:tcPr>
            <w:tcW w:w="1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59,616</w:t>
            </w:r>
          </w:p>
        </w:tc>
        <w:tc>
          <w:tcPr>
            <w:tcW w:w="220" w:type="dxa"/>
            <w:vAlign w:val="bottom"/>
            <w:shd w:val="clear" w:color="auto" w:fill="C0C0C0"/>
          </w:tcPr>
          <w:p>
            <w:pPr>
              <w:spacing w:after="0"/>
              <w:rPr>
                <w:sz w:val="21"/>
                <w:szCs w:val="21"/>
                <w:color w:val="auto"/>
              </w:rPr>
            </w:pPr>
          </w:p>
        </w:tc>
        <w:tc>
          <w:tcPr>
            <w:tcW w:w="360" w:type="dxa"/>
            <w:vAlign w:val="bottom"/>
            <w:shd w:val="clear" w:color="auto" w:fill="C0C0C0"/>
          </w:tcPr>
          <w:p>
            <w:pPr>
              <w:jc w:val="right"/>
              <w:ind w:right="2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13,579</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46,037</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Customer lists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4,501</w:t>
            </w:r>
          </w:p>
        </w:tc>
      </w:tr>
      <w:tr>
        <w:trPr>
          <w:trHeight w:val="251"/>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Supply agreement</w:t>
            </w:r>
          </w:p>
        </w:tc>
        <w:tc>
          <w:tcPr>
            <w:tcW w:w="18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6,959</w:t>
            </w:r>
          </w:p>
        </w:tc>
        <w:tc>
          <w:tcPr>
            <w:tcW w:w="2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4,907</w:t>
            </w:r>
          </w:p>
        </w:tc>
        <w:tc>
          <w:tcPr>
            <w:tcW w:w="12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2,052</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Patents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44"/>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Software and other</w:t>
            </w:r>
          </w:p>
        </w:tc>
        <w:tc>
          <w:tcPr>
            <w:tcW w:w="18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5,190</w:t>
            </w:r>
          </w:p>
        </w:tc>
        <w:tc>
          <w:tcPr>
            <w:tcW w:w="220" w:type="dxa"/>
            <w:vAlign w:val="bottom"/>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2,823</w:t>
            </w:r>
          </w:p>
        </w:tc>
        <w:tc>
          <w:tcPr>
            <w:tcW w:w="2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2,367</w:t>
            </w:r>
          </w:p>
        </w:tc>
      </w:tr>
      <w:tr>
        <w:trPr>
          <w:trHeight w:val="250"/>
        </w:trPr>
        <w:tc>
          <w:tcPr>
            <w:tcW w:w="39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79,131</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24,077</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8"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On May 5, 2006, Photronics and Micron entered into the MP Mask joint venture, which develops and produces photomasks for leading-edge and advanced next generation semiconductors. As part of the formation of the joint venture, Micron contributed its existing photomask technology center located in Boise, Idaho, (headquarters of MP Mask) and Photronics invested $135 million in exchange for a 49.99% interest in MP Mask (to which $64.2 million of the original investment was allocated), a license for photomask technology of Micron, and certain supply agreements. Of the total $135 million investment, $120 million was paid to Micron on May 6, 2006 and, as of that date, the remaining $15 million was a non-cash financing activity, which was subsequently paid in two installments of $7.5 million each in May 2007 and June 2008.</w:t>
      </w:r>
    </w:p>
    <w:p>
      <w:pPr>
        <w:spacing w:after="0" w:line="225"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This joint venture is a variable interest entity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is defined in the Accounting Standards Codification)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20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40" w:firstLine="270"/>
        <w:spacing w:after="0" w:line="289"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appointed the majority of its managers. The number of managers appointed by each party is subject to change as ownership interests change. Under the MP Mask joint venture operating agreement, the Company may be required to make additional capital contributions to the joint venture up to the maximum amount defined in the operating agreement. However, should the Board of Managers determine that additional funding is required, the joint venture shall pursue its own financing. If the joint venture is unable to obtain its own financing, it may request additional capital contributions from the Company. Should the Company choose not to make a request ed contribution to the joint venture, its ownership interest may be reduced. The Company received a $5 million distribution from MP Mask in fiscal 2009, and made no contributions to MP Mask during fiscal years 2010 or 2009. In December 2010, the Company made an additional capital contribution of $4 million to the MP Mask joint venture related to a capital call requested by the joint venture.</w:t>
      </w:r>
    </w:p>
    <w:p>
      <w:pPr>
        <w:spacing w:after="0" w:line="199" w:lineRule="exact"/>
        <w:rPr>
          <w:sz w:val="20"/>
          <w:szCs w:val="20"/>
          <w:color w:val="auto"/>
        </w:rPr>
      </w:pPr>
    </w:p>
    <w:p>
      <w:pPr>
        <w:ind w:right="640" w:firstLine="270"/>
        <w:spacing w:after="0" w:line="332" w:lineRule="auto"/>
        <w:rPr>
          <w:sz w:val="20"/>
          <w:szCs w:val="20"/>
          <w:color w:val="auto"/>
        </w:rPr>
      </w:pPr>
      <w:r>
        <w:rPr>
          <w:rFonts w:ascii="Arial" w:cs="Arial" w:eastAsia="Arial" w:hAnsi="Arial"/>
          <w:sz w:val="16"/>
          <w:szCs w:val="16"/>
          <w:color w:val="auto"/>
        </w:rPr>
        <w:t>The Company's investment in the VIE, which represents its maximum exposure to loss, was $61.1 million and $60.9 million at October 31, 2010 and November 1, 2009, respectively. These amounts are reported in the Company's consolidated balance sheets as "Investment in joint venture".</w:t>
      </w:r>
    </w:p>
    <w:p>
      <w:pPr>
        <w:spacing w:after="0" w:line="166" w:lineRule="exact"/>
        <w:rPr>
          <w:sz w:val="20"/>
          <w:szCs w:val="20"/>
          <w:color w:val="auto"/>
        </w:rPr>
      </w:pPr>
    </w:p>
    <w:p>
      <w:pPr>
        <w:ind w:right="120" w:firstLine="270"/>
        <w:spacing w:after="0" w:line="290" w:lineRule="auto"/>
        <w:rPr>
          <w:sz w:val="20"/>
          <w:szCs w:val="20"/>
          <w:color w:val="auto"/>
        </w:rPr>
      </w:pPr>
      <w:r>
        <w:rPr>
          <w:rFonts w:ascii="Arial" w:cs="Arial" w:eastAsia="Arial" w:hAnsi="Arial"/>
          <w:sz w:val="16"/>
          <w:szCs w:val="16"/>
          <w:color w:val="auto"/>
        </w:rPr>
        <w:t>As of October 31, 2010, the Company owed MP Mask $5.4 million and had a receivable from Micron of $4.9 million, both primarily related to the supply agreements. The Company, in 2010, recorded $1.7 million of commission revenue earned under the supply agreements it has with Micron and MP Mask. Amortization of $0.5 million of the supply agreement intangible asset resulted in net earnings related to the supply agreements of $1.2 million in 2010. The recorded commission revenue of $1.7 million represents the excess of $35.3 million in orders received from Micron over the Company's cost of $33.6 million to fulfill the orders through MP Mask. The Company, for certain sales made during 2010, also recorded cost of sales in the amount of $5.9 million for photomasks produced by MP Mask for the Company's customers, and incurred outsourcing expenses of $1.9 million fro m MP Mask for research and development activities and other goods and services purchased by the Company.</w:t>
      </w:r>
    </w:p>
    <w:p>
      <w:pPr>
        <w:spacing w:after="0" w:line="199" w:lineRule="exact"/>
        <w:rPr>
          <w:sz w:val="20"/>
          <w:szCs w:val="20"/>
          <w:color w:val="auto"/>
        </w:rPr>
      </w:pPr>
    </w:p>
    <w:p>
      <w:pPr>
        <w:ind w:right="120" w:firstLine="270"/>
        <w:spacing w:after="0" w:line="290" w:lineRule="auto"/>
        <w:rPr>
          <w:sz w:val="20"/>
          <w:szCs w:val="20"/>
          <w:color w:val="auto"/>
        </w:rPr>
      </w:pPr>
      <w:r>
        <w:rPr>
          <w:rFonts w:ascii="Arial" w:cs="Arial" w:eastAsia="Arial" w:hAnsi="Arial"/>
          <w:sz w:val="16"/>
          <w:szCs w:val="16"/>
          <w:color w:val="auto"/>
        </w:rPr>
        <w:t>As of November 1, 2009, the Company owed MP Mask $4.3 million and had a receivable from Micron of $3.8 million, both primarily related to the supply agreements. The Company, in 2009, recorded $1.8 million of commission revenue earned under the supply agreements it has with Micron and MP Mask. Amortization of $0.9 million of the supply agreement intangible asset resulted in net earnings related to the supply agreements of $0.9 million in 2009. The recorded commission revenue of $1.8 million represents the excess of $37.9 million in orders received from Micron over the Company's cost of $36.1 million to fulfill the orders through MP Mask. The Company, for certain sales made during 2009, also recorded cost of sales in the amount of $4.2 million for photomasks produced by MP Mask for the Company's customers, and incurred outsourcing expenses of $2.0 million fro m MP Mask for research and development activities and other goods and services purchased by the Company.</w:t>
      </w:r>
    </w:p>
    <w:p>
      <w:pPr>
        <w:spacing w:after="0" w:line="199"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 pital lease until the end of its original lease term. For the additional two years of the new lease term, the lease will be accounted for as an operating lease. The U. S. nanoFab began production in the second quarter of 2008 and, through the end of fiscal 2010, the Company's total capital investment in the facility is approximately $178 million.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7120" w:type="dxa"/>
            <w:vAlign w:val="bottom"/>
          </w:tcPr>
          <w:p>
            <w:pPr>
              <w:spacing w:after="0"/>
              <w:rPr>
                <w:sz w:val="20"/>
                <w:szCs w:val="20"/>
                <w:color w:val="auto"/>
              </w:rPr>
            </w:pPr>
            <w:r>
              <w:rPr>
                <w:rFonts w:ascii="Arial" w:cs="Arial" w:eastAsia="Arial" w:hAnsi="Arial"/>
                <w:sz w:val="18"/>
                <w:szCs w:val="18"/>
                <w:b w:val="1"/>
                <w:bCs w:val="1"/>
                <w:color w:val="auto"/>
              </w:rPr>
              <w:t>NOTE 5 - ACCRUED LIABILITIES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2"/>
        </w:trPr>
        <w:tc>
          <w:tcPr>
            <w:tcW w:w="7120" w:type="dxa"/>
            <w:vAlign w:val="bottom"/>
          </w:tcPr>
          <w:p>
            <w:pPr>
              <w:ind w:left="220"/>
              <w:spacing w:after="0"/>
              <w:rPr>
                <w:sz w:val="20"/>
                <w:szCs w:val="20"/>
                <w:color w:val="auto"/>
              </w:rPr>
            </w:pPr>
            <w:r>
              <w:rPr>
                <w:rFonts w:ascii="Arial" w:cs="Arial" w:eastAsia="Arial" w:hAnsi="Arial"/>
                <w:sz w:val="18"/>
                <w:szCs w:val="18"/>
                <w:color w:val="auto"/>
              </w:rPr>
              <w:t>Accrued liabilities consist of the following: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71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31,</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w w:val="85"/>
              </w:rPr>
              <w:t>November 1,</w:t>
            </w:r>
          </w:p>
        </w:tc>
      </w:tr>
      <w:tr>
        <w:trPr>
          <w:trHeight w:val="252"/>
        </w:trPr>
        <w:tc>
          <w:tcPr>
            <w:tcW w:w="71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r>
      <w:tr>
        <w:trPr>
          <w:trHeight w:val="243"/>
        </w:trPr>
        <w:tc>
          <w:tcPr>
            <w:tcW w:w="712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13,552</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211</w:t>
            </w:r>
          </w:p>
        </w:tc>
      </w:tr>
      <w:tr>
        <w:trPr>
          <w:trHeight w:val="235"/>
        </w:trPr>
        <w:tc>
          <w:tcPr>
            <w:tcW w:w="7120" w:type="dxa"/>
            <w:vAlign w:val="bottom"/>
          </w:tcPr>
          <w:p>
            <w:pPr>
              <w:spacing w:after="0"/>
              <w:rPr>
                <w:sz w:val="20"/>
                <w:szCs w:val="20"/>
                <w:color w:val="auto"/>
              </w:rPr>
            </w:pPr>
            <w:r>
              <w:rPr>
                <w:rFonts w:ascii="Arial" w:cs="Arial" w:eastAsia="Arial" w:hAnsi="Arial"/>
                <w:sz w:val="18"/>
                <w:szCs w:val="18"/>
                <w:color w:val="auto"/>
              </w:rPr>
              <w:t>Salaries, wages and related benefits</w:t>
            </w: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4,728</w:t>
            </w:r>
          </w:p>
        </w:tc>
      </w:tr>
      <w:tr>
        <w:trPr>
          <w:trHeight w:val="251"/>
        </w:trPr>
        <w:tc>
          <w:tcPr>
            <w:tcW w:w="7120" w:type="dxa"/>
            <w:vAlign w:val="bottom"/>
            <w:shd w:val="clear" w:color="auto" w:fill="C0C0C0"/>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5,808</w:t>
            </w:r>
          </w:p>
        </w:tc>
      </w:tr>
      <w:tr>
        <w:trPr>
          <w:trHeight w:val="237"/>
        </w:trPr>
        <w:tc>
          <w:tcPr>
            <w:tcW w:w="71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w:t>
            </w:r>
          </w:p>
        </w:tc>
      </w:tr>
      <w:tr>
        <w:trPr>
          <w:trHeight w:val="235"/>
        </w:trPr>
        <w:tc>
          <w:tcPr>
            <w:tcW w:w="71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30,132</w:t>
            </w:r>
          </w:p>
        </w:tc>
        <w:tc>
          <w:tcPr>
            <w:tcW w:w="120" w:type="dxa"/>
            <w:vAlign w:val="bottom"/>
            <w:shd w:val="clear" w:color="auto" w:fill="C0C0C0"/>
          </w:tcPr>
          <w:p>
            <w:pPr>
              <w:spacing w:after="0"/>
              <w:rPr>
                <w:sz w:val="20"/>
                <w:szCs w:val="20"/>
                <w:color w:val="auto"/>
              </w:rPr>
            </w:pP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20,967</w:t>
            </w:r>
          </w:p>
        </w:tc>
      </w:tr>
      <w:tr>
        <w:trPr>
          <w:trHeight w:val="35"/>
        </w:trPr>
        <w:tc>
          <w:tcPr>
            <w:tcW w:w="712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INSTRUMENTS AND HEDGING ACTIVITIES</w:t>
      </w:r>
    </w:p>
    <w:p>
      <w:pPr>
        <w:spacing w:after="0" w:line="25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 se in the foreseeable future.</w:t>
      </w:r>
    </w:p>
    <w:p>
      <w:pPr>
        <w:spacing w:after="0" w:line="201"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21" w:lineRule="exact"/>
        <w:rPr>
          <w:sz w:val="20"/>
          <w:szCs w:val="20"/>
          <w:color w:val="auto"/>
        </w:rPr>
      </w:pPr>
    </w:p>
    <w:p>
      <w:pPr>
        <w:ind w:right="20" w:firstLine="270"/>
        <w:spacing w:after="0" w:line="310" w:lineRule="auto"/>
        <w:rPr>
          <w:sz w:val="20"/>
          <w:szCs w:val="20"/>
          <w:color w:val="auto"/>
        </w:rPr>
      </w:pPr>
      <w:r>
        <w:rPr>
          <w:rFonts w:ascii="Arial" w:cs="Arial" w:eastAsia="Arial" w:hAnsi="Arial"/>
          <w:sz w:val="15"/>
          <w:szCs w:val="15"/>
          <w:color w:val="auto"/>
        </w:rPr>
        <w:t>In May 2009, in connection with an amendment to its then existing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 (see Note 7 for further discussion).</w:t>
      </w:r>
    </w:p>
    <w:p>
      <w:pPr>
        <w:spacing w:after="0" w:line="189"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Company was a party to two foreign currency forward contracts which expired during the year ended November 1, 2009, both of which were not accounted for as hedges, as they were economic hedges of intercompany loans denominated in U.S. dollars that were remeasured at fair value and recognized immediately in earnings. A portion of an existing loss on a cash flow hedge in the amount of $0.1 million is expected to be reclassified into earnings during fiscal year 2011.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7" w:name="page48"/>
    <w:bookmarkEnd w:id="47"/>
    <w:p>
      <w:pPr>
        <w:ind w:left="280"/>
        <w:spacing w:after="0"/>
        <w:rPr>
          <w:sz w:val="20"/>
          <w:szCs w:val="20"/>
          <w:color w:val="auto"/>
        </w:rPr>
      </w:pPr>
      <w:r>
        <w:rPr>
          <w:rFonts w:ascii="Arial" w:cs="Arial" w:eastAsia="Arial" w:hAnsi="Arial"/>
          <w:sz w:val="16"/>
          <w:szCs w:val="16"/>
          <w:color w:val="auto"/>
        </w:rPr>
        <w:t>The table below presents the effect of derivative instruments on the Company's consolidated balance sheets at October 31, 2010 and November 1, 2009.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Fair Value at</w:t>
            </w:r>
          </w:p>
        </w:tc>
      </w:tr>
      <w:tr>
        <w:trPr>
          <w:trHeight w:val="228"/>
        </w:trPr>
        <w:tc>
          <w:tcPr>
            <w:tcW w:w="5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Derivatives Not Designated</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3"/>
        </w:trPr>
        <w:tc>
          <w:tcPr>
            <w:tcW w:w="5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as Hedging Instruments</w:t>
            </w:r>
          </w:p>
        </w:tc>
        <w:tc>
          <w:tcPr>
            <w:tcW w:w="3320" w:type="dxa"/>
            <w:vAlign w:val="bottom"/>
          </w:tcPr>
          <w:p>
            <w:pPr>
              <w:spacing w:after="0"/>
              <w:rPr>
                <w:sz w:val="21"/>
                <w:szCs w:val="21"/>
                <w:color w:val="auto"/>
              </w:rPr>
            </w:pPr>
          </w:p>
        </w:tc>
        <w:tc>
          <w:tcPr>
            <w:tcW w:w="1400" w:type="dxa"/>
            <w:vAlign w:val="bottom"/>
            <w:gridSpan w:val="4"/>
          </w:tcPr>
          <w:p>
            <w:pPr>
              <w:ind w:left="220"/>
              <w:spacing w:after="0"/>
              <w:rPr>
                <w:sz w:val="20"/>
                <w:szCs w:val="20"/>
                <w:color w:val="auto"/>
              </w:rPr>
            </w:pPr>
            <w:r>
              <w:rPr>
                <w:rFonts w:ascii="Arial" w:cs="Arial" w:eastAsia="Arial" w:hAnsi="Arial"/>
                <w:sz w:val="18"/>
                <w:szCs w:val="18"/>
                <w:b w:val="1"/>
                <w:bCs w:val="1"/>
                <w:color w:val="auto"/>
              </w:rPr>
              <w:t>October 31,</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6"/>
              </w:rPr>
              <w:t>November 1,</w:t>
            </w:r>
          </w:p>
        </w:tc>
      </w:tr>
      <w:tr>
        <w:trPr>
          <w:trHeight w:val="252"/>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ASC 815</w:t>
            </w:r>
          </w:p>
        </w:tc>
        <w:tc>
          <w:tcPr>
            <w:tcW w:w="220" w:type="dxa"/>
            <w:vAlign w:val="bottom"/>
            <w:tcBorders>
              <w:bottom w:val="single" w:sz="8" w:color="C0C0C0"/>
            </w:tcBorders>
          </w:tcPr>
          <w:p>
            <w:pPr>
              <w:spacing w:after="0"/>
              <w:rPr>
                <w:sz w:val="21"/>
                <w:szCs w:val="21"/>
                <w:color w:val="auto"/>
              </w:rPr>
            </w:pPr>
          </w:p>
        </w:tc>
        <w:tc>
          <w:tcPr>
            <w:tcW w:w="33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Balance Sheet Location</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2010</w:t>
            </w:r>
          </w:p>
        </w:tc>
        <w:tc>
          <w:tcPr>
            <w:tcW w:w="3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r>
      <w:tr>
        <w:trPr>
          <w:trHeight w:val="243"/>
        </w:trPr>
        <w:tc>
          <w:tcPr>
            <w:tcW w:w="5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332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40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r>
    </w:tbl>
    <w:p>
      <w:pPr>
        <w:spacing w:after="0" w:line="248"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consolidated statements of operations for the years ended October 31, 2010 and November 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4"/>
          </w:tcPr>
          <w:p>
            <w:pPr>
              <w:jc w:val="center"/>
              <w:ind w:right="72"/>
              <w:spacing w:after="0"/>
              <w:rPr>
                <w:sz w:val="20"/>
                <w:szCs w:val="20"/>
                <w:color w:val="auto"/>
              </w:rPr>
            </w:pPr>
            <w:r>
              <w:rPr>
                <w:rFonts w:ascii="Arial" w:cs="Arial" w:eastAsia="Arial" w:hAnsi="Arial"/>
                <w:sz w:val="18"/>
                <w:szCs w:val="18"/>
                <w:b w:val="1"/>
                <w:bCs w:val="1"/>
                <w:color w:val="auto"/>
                <w:w w:val="88"/>
              </w:rPr>
              <w:t>Amount of Gain (Loss)</w:t>
            </w:r>
          </w:p>
        </w:tc>
      </w:tr>
      <w:tr>
        <w:trPr>
          <w:trHeight w:val="243"/>
        </w:trPr>
        <w:tc>
          <w:tcPr>
            <w:tcW w:w="5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4"/>
          </w:tcPr>
          <w:p>
            <w:pPr>
              <w:jc w:val="center"/>
              <w:ind w:right="72"/>
              <w:spacing w:after="0"/>
              <w:rPr>
                <w:sz w:val="20"/>
                <w:szCs w:val="20"/>
                <w:color w:val="auto"/>
              </w:rPr>
            </w:pPr>
            <w:r>
              <w:rPr>
                <w:rFonts w:ascii="Arial" w:cs="Arial" w:eastAsia="Arial" w:hAnsi="Arial"/>
                <w:sz w:val="18"/>
                <w:szCs w:val="18"/>
                <w:b w:val="1"/>
                <w:bCs w:val="1"/>
                <w:color w:val="auto"/>
                <w:w w:val="87"/>
              </w:rPr>
              <w:t>Recognized Related to</w:t>
            </w:r>
          </w:p>
        </w:tc>
      </w:tr>
      <w:tr>
        <w:trPr>
          <w:trHeight w:val="252"/>
        </w:trPr>
        <w:tc>
          <w:tcPr>
            <w:tcW w:w="5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8"/>
                <w:szCs w:val="18"/>
                <w:b w:val="1"/>
                <w:bCs w:val="1"/>
                <w:color w:val="auto"/>
                <w:w w:val="89"/>
              </w:rPr>
              <w:t>Derivative Instruments</w:t>
            </w:r>
          </w:p>
        </w:tc>
      </w:tr>
      <w:tr>
        <w:trPr>
          <w:trHeight w:val="237"/>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8"/>
                <w:szCs w:val="18"/>
                <w:b w:val="1"/>
                <w:bCs w:val="1"/>
                <w:color w:val="auto"/>
                <w:w w:val="88"/>
              </w:rPr>
              <w:t>Year Ended</w:t>
            </w:r>
          </w:p>
        </w:tc>
      </w:tr>
      <w:tr>
        <w:trPr>
          <w:trHeight w:val="228"/>
        </w:trPr>
        <w:tc>
          <w:tcPr>
            <w:tcW w:w="5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Derivatives Not Designated as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Gain (Loss) Recognized</w:t>
            </w:r>
          </w:p>
        </w:tc>
        <w:tc>
          <w:tcPr>
            <w:tcW w:w="2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November 1,</w:t>
            </w:r>
          </w:p>
        </w:tc>
      </w:tr>
      <w:tr>
        <w:trPr>
          <w:trHeight w:val="25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Hedging Instruments Under ASC 815</w:t>
            </w:r>
          </w:p>
        </w:tc>
        <w:tc>
          <w:tcPr>
            <w:tcW w:w="220" w:type="dxa"/>
            <w:vAlign w:val="bottom"/>
            <w:tcBorders>
              <w:bottom w:val="single" w:sz="8" w:color="C0C0C0"/>
            </w:tcBorders>
          </w:tcPr>
          <w:p>
            <w:pPr>
              <w:spacing w:after="0"/>
              <w:rPr>
                <w:sz w:val="21"/>
                <w:szCs w:val="21"/>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Related to Derivative Instruments</w:t>
            </w:r>
          </w:p>
        </w:tc>
        <w:tc>
          <w:tcPr>
            <w:tcW w:w="2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43"/>
        </w:trPr>
        <w:tc>
          <w:tcPr>
            <w:tcW w:w="5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33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Investment and other income (expense), net</w:t>
            </w:r>
          </w:p>
        </w:tc>
        <w:tc>
          <w:tcPr>
            <w:tcW w:w="3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w:t>
            </w:r>
          </w:p>
        </w:tc>
      </w:tr>
      <w:tr>
        <w:trPr>
          <w:trHeight w:val="228"/>
        </w:trPr>
        <w:tc>
          <w:tcPr>
            <w:tcW w:w="564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3320" w:type="dxa"/>
            <w:vAlign w:val="bottom"/>
          </w:tcPr>
          <w:p>
            <w:pPr>
              <w:jc w:val="center"/>
              <w:spacing w:after="0"/>
              <w:rPr>
                <w:sz w:val="20"/>
                <w:szCs w:val="20"/>
                <w:color w:val="auto"/>
              </w:rPr>
            </w:pPr>
            <w:r>
              <w:rPr>
                <w:rFonts w:ascii="Arial" w:cs="Arial" w:eastAsia="Arial" w:hAnsi="Arial"/>
                <w:sz w:val="18"/>
                <w:szCs w:val="18"/>
                <w:color w:val="auto"/>
                <w:w w:val="87"/>
              </w:rPr>
              <w:t>Investment and other income (expense), net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93</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20"/>
                <w:szCs w:val="20"/>
                <w:color w:val="auto"/>
              </w:rPr>
            </w:pPr>
            <w:r>
              <w:rPr>
                <w:rFonts w:ascii="Arial" w:cs="Arial" w:eastAsia="Arial" w:hAnsi="Arial"/>
                <w:sz w:val="18"/>
                <w:szCs w:val="18"/>
                <w:b w:val="1"/>
                <w:bCs w:val="1"/>
                <w:color w:val="auto"/>
              </w:rPr>
              <w:t>NOTE 7 - LONG-TERM BORROWINGS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32"/>
        </w:trPr>
        <w:tc>
          <w:tcPr>
            <w:tcW w:w="5000" w:type="dxa"/>
            <w:vAlign w:val="bottom"/>
          </w:tcPr>
          <w:p>
            <w:pPr>
              <w:ind w:left="220"/>
              <w:spacing w:after="0"/>
              <w:rPr>
                <w:sz w:val="20"/>
                <w:szCs w:val="20"/>
                <w:color w:val="auto"/>
              </w:rPr>
            </w:pPr>
            <w:r>
              <w:rPr>
                <w:rFonts w:ascii="Arial" w:cs="Arial" w:eastAsia="Arial" w:hAnsi="Arial"/>
                <w:sz w:val="18"/>
                <w:szCs w:val="18"/>
                <w:color w:val="auto"/>
              </w:rPr>
              <w:t>Long-term borrowings consist of the following:</w:t>
            </w: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46"/>
        </w:trPr>
        <w:tc>
          <w:tcPr>
            <w:tcW w:w="5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31,</w:t>
            </w:r>
          </w:p>
        </w:tc>
        <w:tc>
          <w:tcPr>
            <w:tcW w:w="3340" w:type="dxa"/>
            <w:vAlign w:val="bottom"/>
            <w:gridSpan w:val="4"/>
          </w:tcPr>
          <w:p>
            <w:pPr>
              <w:ind w:left="100"/>
              <w:spacing w:after="0"/>
              <w:rPr>
                <w:sz w:val="20"/>
                <w:szCs w:val="20"/>
                <w:color w:val="auto"/>
              </w:rPr>
            </w:pPr>
            <w:r>
              <w:rPr>
                <w:rFonts w:ascii="Arial" w:cs="Arial" w:eastAsia="Arial" w:hAnsi="Arial"/>
                <w:sz w:val="18"/>
                <w:szCs w:val="18"/>
                <w:b w:val="1"/>
                <w:bCs w:val="1"/>
                <w:color w:val="auto"/>
              </w:rPr>
              <w:t>November 1,</w:t>
            </w:r>
          </w:p>
        </w:tc>
      </w:tr>
      <w:tr>
        <w:trPr>
          <w:trHeight w:val="252"/>
        </w:trPr>
        <w:tc>
          <w:tcPr>
            <w:tcW w:w="5000" w:type="dxa"/>
            <w:vAlign w:val="bottom"/>
            <w:tcBorders>
              <w:bottom w:val="single" w:sz="8" w:color="C0C0C0"/>
            </w:tcBorders>
          </w:tcPr>
          <w:p>
            <w:pPr>
              <w:spacing w:after="0"/>
              <w:rPr>
                <w:sz w:val="21"/>
                <w:szCs w:val="21"/>
                <w:color w:val="auto"/>
              </w:rPr>
            </w:pPr>
          </w:p>
        </w:tc>
        <w:tc>
          <w:tcPr>
            <w:tcW w:w="21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300" w:type="dxa"/>
            <w:vAlign w:val="bottom"/>
          </w:tcPr>
          <w:p>
            <w:pPr>
              <w:spacing w:after="0"/>
              <w:rPr>
                <w:sz w:val="21"/>
                <w:szCs w:val="21"/>
                <w:color w:val="auto"/>
              </w:rPr>
            </w:pPr>
          </w:p>
        </w:tc>
      </w:tr>
      <w:tr>
        <w:trPr>
          <w:trHeight w:val="243"/>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5.50% convertible senior notes due on October 1, 2014</w:t>
            </w:r>
          </w:p>
        </w:tc>
        <w:tc>
          <w:tcPr>
            <w:tcW w:w="2280" w:type="dxa"/>
            <w:vAlign w:val="bottom"/>
            <w:gridSpan w:val="2"/>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57,500</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57,500</w:t>
            </w:r>
          </w:p>
        </w:tc>
        <w:tc>
          <w:tcPr>
            <w:tcW w:w="2300" w:type="dxa"/>
            <w:vAlign w:val="bottom"/>
          </w:tcPr>
          <w:p>
            <w:pPr>
              <w:spacing w:after="0"/>
              <w:rPr>
                <w:sz w:val="21"/>
                <w:szCs w:val="21"/>
                <w:color w:val="auto"/>
              </w:rPr>
            </w:pPr>
          </w:p>
        </w:tc>
      </w:tr>
      <w:tr>
        <w:trPr>
          <w:trHeight w:val="228"/>
        </w:trPr>
        <w:tc>
          <w:tcPr>
            <w:tcW w:w="500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43"/>
        </w:trPr>
        <w:tc>
          <w:tcPr>
            <w:tcW w:w="5000" w:type="dxa"/>
            <w:vAlign w:val="bottom"/>
          </w:tcPr>
          <w:p>
            <w:pPr>
              <w:ind w:left="320"/>
              <w:spacing w:after="0"/>
              <w:rPr>
                <w:sz w:val="20"/>
                <w:szCs w:val="20"/>
                <w:color w:val="auto"/>
              </w:rPr>
            </w:pPr>
            <w:r>
              <w:rPr>
                <w:rFonts w:ascii="Arial" w:cs="Arial" w:eastAsia="Arial" w:hAnsi="Arial"/>
                <w:sz w:val="18"/>
                <w:szCs w:val="18"/>
                <w:color w:val="auto"/>
              </w:rPr>
              <w:t>which bear interest at a variable rate, as defined</w:t>
            </w: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51"/>
        </w:trPr>
        <w:tc>
          <w:tcPr>
            <w:tcW w:w="5000" w:type="dxa"/>
            <w:vAlign w:val="bottom"/>
          </w:tcPr>
          <w:p>
            <w:pPr>
              <w:ind w:left="320"/>
              <w:spacing w:after="0"/>
              <w:rPr>
                <w:sz w:val="20"/>
                <w:szCs w:val="20"/>
                <w:color w:val="auto"/>
              </w:rPr>
            </w:pPr>
            <w:r>
              <w:rPr>
                <w:rFonts w:ascii="Arial" w:cs="Arial" w:eastAsia="Arial" w:hAnsi="Arial"/>
                <w:sz w:val="18"/>
                <w:szCs w:val="18"/>
                <w:color w:val="auto"/>
              </w:rPr>
              <w:t>(3.81% at October 31, 2010, 8.00% at November 1, 2009)</w:t>
            </w: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60" w:type="dxa"/>
            <w:vAlign w:val="bottom"/>
            <w:gridSpan w:val="2"/>
          </w:tcPr>
          <w:p>
            <w:pPr>
              <w:jc w:val="right"/>
              <w:ind w:right="2300"/>
              <w:spacing w:after="0"/>
              <w:rPr>
                <w:sz w:val="20"/>
                <w:szCs w:val="20"/>
                <w:color w:val="auto"/>
              </w:rPr>
            </w:pPr>
            <w:r>
              <w:rPr>
                <w:rFonts w:ascii="Arial" w:cs="Arial" w:eastAsia="Arial" w:hAnsi="Arial"/>
                <w:sz w:val="18"/>
                <w:szCs w:val="18"/>
                <w:color w:val="auto"/>
              </w:rPr>
              <w:t>2,568</w:t>
            </w:r>
          </w:p>
        </w:tc>
      </w:tr>
      <w:tr>
        <w:trPr>
          <w:trHeight w:val="251"/>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8.0% capital lease obligation payable through January 2013</w:t>
            </w:r>
          </w:p>
        </w:tc>
        <w:tc>
          <w:tcPr>
            <w:tcW w:w="2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16,220</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22,552</w:t>
            </w:r>
          </w:p>
        </w:tc>
        <w:tc>
          <w:tcPr>
            <w:tcW w:w="2300" w:type="dxa"/>
            <w:vAlign w:val="bottom"/>
          </w:tcPr>
          <w:p>
            <w:pPr>
              <w:spacing w:after="0"/>
              <w:rPr>
                <w:sz w:val="21"/>
                <w:szCs w:val="2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5.6% capital lease obligation payable through October 2012</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2"/>
          </w:tcPr>
          <w:p>
            <w:pPr>
              <w:jc w:val="right"/>
              <w:ind w:right="2300"/>
              <w:spacing w:after="0"/>
              <w:rPr>
                <w:sz w:val="20"/>
                <w:szCs w:val="20"/>
                <w:color w:val="auto"/>
              </w:rPr>
            </w:pPr>
            <w:r>
              <w:rPr>
                <w:rFonts w:ascii="Arial" w:cs="Arial" w:eastAsia="Arial" w:hAnsi="Arial"/>
                <w:sz w:val="18"/>
                <w:szCs w:val="18"/>
                <w:color w:val="auto"/>
              </w:rPr>
              <w:t>12,614</w:t>
            </w:r>
          </w:p>
        </w:tc>
      </w:tr>
      <w:tr>
        <w:trPr>
          <w:trHeight w:val="251"/>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4.75% financing loan with customer</w:t>
            </w:r>
          </w:p>
        </w:tc>
        <w:tc>
          <w:tcPr>
            <w:tcW w:w="2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1"/>
                <w:szCs w:val="21"/>
                <w:color w:val="auto"/>
              </w:rPr>
            </w:pPr>
          </w:p>
        </w:tc>
      </w:tr>
      <w:tr>
        <w:trPr>
          <w:trHeight w:val="228"/>
        </w:trPr>
        <w:tc>
          <w:tcPr>
            <w:tcW w:w="5000" w:type="dxa"/>
            <w:vAlign w:val="bottom"/>
          </w:tcPr>
          <w:p>
            <w:pPr>
              <w:spacing w:after="0"/>
              <w:rPr>
                <w:sz w:val="20"/>
                <w:szCs w:val="20"/>
                <w:color w:val="auto"/>
              </w:rPr>
            </w:pPr>
            <w:r>
              <w:rPr>
                <w:rFonts w:ascii="Arial" w:cs="Arial" w:eastAsia="Arial" w:hAnsi="Arial"/>
                <w:sz w:val="18"/>
                <w:szCs w:val="18"/>
                <w:color w:val="auto"/>
              </w:rPr>
              <w:t>Term loan which bore interest at a variable rate as defined</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2"/>
        </w:trPr>
        <w:tc>
          <w:tcPr>
            <w:tcW w:w="50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(8.00% at November 1, 2009)</w:t>
            </w:r>
          </w:p>
        </w:tc>
        <w:tc>
          <w:tcPr>
            <w:tcW w:w="21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27,204</w:t>
            </w:r>
          </w:p>
        </w:tc>
        <w:tc>
          <w:tcPr>
            <w:tcW w:w="2300" w:type="dxa"/>
            <w:vAlign w:val="bottom"/>
          </w:tcPr>
          <w:p>
            <w:pPr>
              <w:spacing w:after="0"/>
              <w:rPr>
                <w:sz w:val="21"/>
                <w:szCs w:val="21"/>
                <w:color w:val="auto"/>
              </w:rPr>
            </w:pPr>
          </w:p>
        </w:tc>
      </w:tr>
      <w:tr>
        <w:trPr>
          <w:trHeight w:val="243"/>
        </w:trPr>
        <w:tc>
          <w:tcPr>
            <w:tcW w:w="5000" w:type="dxa"/>
            <w:vAlign w:val="bottom"/>
            <w:shd w:val="clear" w:color="auto" w:fill="C0C0C0"/>
          </w:tcPr>
          <w:p>
            <w:pPr>
              <w:spacing w:after="0"/>
              <w:rPr>
                <w:sz w:val="21"/>
                <w:szCs w:val="21"/>
                <w:color w:val="auto"/>
              </w:rPr>
            </w:pPr>
          </w:p>
        </w:tc>
        <w:tc>
          <w:tcPr>
            <w:tcW w:w="21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90,319</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122,438</w:t>
            </w:r>
          </w:p>
        </w:tc>
        <w:tc>
          <w:tcPr>
            <w:tcW w:w="2300" w:type="dxa"/>
            <w:vAlign w:val="bottom"/>
          </w:tcPr>
          <w:p>
            <w:pPr>
              <w:spacing w:after="0"/>
              <w:rPr>
                <w:sz w:val="21"/>
                <w:szCs w:val="21"/>
                <w:color w:val="auto"/>
              </w:rPr>
            </w:pPr>
          </w:p>
        </w:tc>
      </w:tr>
      <w:tr>
        <w:trPr>
          <w:trHeight w:val="237"/>
        </w:trPr>
        <w:tc>
          <w:tcPr>
            <w:tcW w:w="50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Less current portion</w:t>
            </w:r>
          </w:p>
        </w:tc>
        <w:tc>
          <w:tcPr>
            <w:tcW w:w="21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11,467</w:t>
            </w:r>
          </w:p>
        </w:tc>
        <w:tc>
          <w:tcPr>
            <w:tcW w:w="1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c>
          <w:tcPr>
            <w:tcW w:w="2300" w:type="dxa"/>
            <w:vAlign w:val="bottom"/>
          </w:tcPr>
          <w:p>
            <w:pPr>
              <w:spacing w:after="0"/>
              <w:rPr>
                <w:sz w:val="20"/>
                <w:szCs w:val="20"/>
                <w:color w:val="auto"/>
              </w:rPr>
            </w:pPr>
          </w:p>
        </w:tc>
      </w:tr>
      <w:tr>
        <w:trPr>
          <w:trHeight w:val="257"/>
        </w:trPr>
        <w:tc>
          <w:tcPr>
            <w:tcW w:w="5000" w:type="dxa"/>
            <w:vAlign w:val="bottom"/>
            <w:shd w:val="clear" w:color="auto" w:fill="C0C0C0"/>
          </w:tcPr>
          <w:p>
            <w:pPr>
              <w:spacing w:after="0"/>
              <w:rPr>
                <w:sz w:val="22"/>
                <w:szCs w:val="22"/>
                <w:color w:val="auto"/>
              </w:rPr>
            </w:pPr>
          </w:p>
        </w:tc>
        <w:tc>
          <w:tcPr>
            <w:tcW w:w="2280" w:type="dxa"/>
            <w:vAlign w:val="bottom"/>
            <w:gridSpan w:val="2"/>
            <w:shd w:val="clear" w:color="auto" w:fill="C0C0C0"/>
          </w:tcPr>
          <w:p>
            <w:pPr>
              <w:ind w:left="2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78,852</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112,137</w:t>
            </w:r>
          </w:p>
        </w:tc>
        <w:tc>
          <w:tcPr>
            <w:tcW w:w="2300" w:type="dxa"/>
            <w:vAlign w:val="bottom"/>
          </w:tcPr>
          <w:p>
            <w:pPr>
              <w:spacing w:after="0"/>
              <w:rPr>
                <w:sz w:val="22"/>
                <w:szCs w:val="22"/>
                <w:color w:val="auto"/>
              </w:rPr>
            </w:pPr>
          </w:p>
        </w:tc>
      </w:tr>
      <w:tr>
        <w:trPr>
          <w:trHeight w:val="424"/>
        </w:trPr>
        <w:tc>
          <w:tcPr>
            <w:tcW w:w="5000" w:type="dxa"/>
            <w:vAlign w:val="bottom"/>
            <w:tcBorders>
              <w:top w:val="single" w:sz="8" w:color="C0C0C0"/>
            </w:tcBorders>
          </w:tcPr>
          <w:p>
            <w:pPr>
              <w:spacing w:after="0"/>
              <w:rPr>
                <w:sz w:val="24"/>
                <w:szCs w:val="24"/>
                <w:color w:val="auto"/>
              </w:rPr>
            </w:pPr>
          </w:p>
        </w:tc>
        <w:tc>
          <w:tcPr>
            <w:tcW w:w="2120" w:type="dxa"/>
            <w:vAlign w:val="bottom"/>
            <w:tcBorders>
              <w:top w:val="single" w:sz="8" w:color="C0C0C0"/>
            </w:tcBorders>
          </w:tcPr>
          <w:p>
            <w:pPr>
              <w:jc w:val="right"/>
              <w:ind w:right="1232"/>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23"/>
        </w:trPr>
        <w:tc>
          <w:tcPr>
            <w:tcW w:w="50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48" w:name="page49"/>
    <w:bookmarkEnd w:id="48"/>
    <w:p>
      <w:pPr>
        <w:ind w:right="80" w:firstLine="220"/>
        <w:spacing w:after="0" w:line="256" w:lineRule="auto"/>
        <w:rPr>
          <w:sz w:val="20"/>
          <w:szCs w:val="20"/>
          <w:color w:val="auto"/>
        </w:rPr>
      </w:pPr>
      <w:r>
        <w:rPr>
          <w:rFonts w:ascii="Arial" w:cs="Arial" w:eastAsia="Arial" w:hAnsi="Arial"/>
          <w:sz w:val="18"/>
          <w:szCs w:val="18"/>
          <w:color w:val="auto"/>
        </w:rPr>
        <w:t>As of October 31, 2010, long-term borrowings, excluding capital lease obligations, mature as follows: $773, $811, $5,850 and $58,020 in fiscal years 2011, 2012, 2013, and 2014, respectively. The maturity date for the 4.75% financing loan with a customer is dependent upon the volume of photomasks shipped to that customer. The Company currently estimates that the loan will be fully repaid in fiscal 2014, and has reflected that estimate in the yearly maturity amounts presented above.</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October 31, 2010, minimum lease payments under the Company's capital lease obligations were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$12,149</w:t>
            </w:r>
          </w:p>
        </w:tc>
      </w:tr>
      <w:tr>
        <w:trPr>
          <w:trHeight w:val="235"/>
        </w:trPr>
        <w:tc>
          <w:tcPr>
            <w:tcW w:w="8560" w:type="dxa"/>
            <w:vAlign w:val="bottom"/>
          </w:tcPr>
          <w:p>
            <w:pPr>
              <w:spacing w:after="0"/>
              <w:rPr>
                <w:sz w:val="20"/>
                <w:szCs w:val="20"/>
                <w:color w:val="auto"/>
              </w:rPr>
            </w:pPr>
            <w:r>
              <w:rPr>
                <w:rFonts w:ascii="Arial" w:cs="Arial" w:eastAsia="Arial" w:hAnsi="Arial"/>
                <w:sz w:val="18"/>
                <w:szCs w:val="18"/>
                <w:color w:val="auto"/>
              </w:rPr>
              <w:t>2012</w:t>
            </w:r>
          </w:p>
        </w:tc>
        <w:tc>
          <w:tcPr>
            <w:tcW w:w="580" w:type="dxa"/>
            <w:vAlign w:val="bottom"/>
          </w:tcPr>
          <w:p>
            <w:pPr>
              <w:jc w:val="right"/>
              <w:spacing w:after="0"/>
              <w:rPr>
                <w:sz w:val="20"/>
                <w:szCs w:val="20"/>
                <w:color w:val="auto"/>
              </w:rPr>
            </w:pPr>
            <w:r>
              <w:rPr>
                <w:rFonts w:ascii="Arial" w:cs="Arial" w:eastAsia="Arial" w:hAnsi="Arial"/>
                <w:sz w:val="18"/>
                <w:szCs w:val="18"/>
                <w:color w:val="auto"/>
              </w:rPr>
              <w:t>12,531</w:t>
            </w:r>
          </w:p>
        </w:tc>
      </w:tr>
      <w:tr>
        <w:trPr>
          <w:trHeight w:val="244"/>
        </w:trPr>
        <w:tc>
          <w:tcPr>
            <w:tcW w:w="856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2,369</w:t>
            </w:r>
          </w:p>
        </w:tc>
      </w:tr>
      <w:tr>
        <w:trPr>
          <w:trHeight w:val="235"/>
        </w:trPr>
        <w:tc>
          <w:tcPr>
            <w:tcW w:w="85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27,049</w:t>
            </w:r>
          </w:p>
        </w:tc>
      </w:tr>
      <w:tr>
        <w:trPr>
          <w:trHeight w:val="251"/>
        </w:trPr>
        <w:tc>
          <w:tcPr>
            <w:tcW w:w="8560" w:type="dxa"/>
            <w:vAlign w:val="bottom"/>
            <w:shd w:val="clear" w:color="auto" w:fill="C0C0C0"/>
          </w:tcPr>
          <w:p>
            <w:pPr>
              <w:spacing w:after="0"/>
              <w:rPr>
                <w:sz w:val="20"/>
                <w:szCs w:val="20"/>
                <w:color w:val="auto"/>
              </w:rPr>
            </w:pPr>
            <w:r>
              <w:rPr>
                <w:rFonts w:ascii="Arial" w:cs="Arial" w:eastAsia="Arial" w:hAnsi="Arial"/>
                <w:sz w:val="18"/>
                <w:szCs w:val="18"/>
                <w:color w:val="auto"/>
              </w:rPr>
              <w:t>Less interest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2,184</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Net minimum lease payments under capital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24,865</w:t>
            </w:r>
          </w:p>
        </w:tc>
      </w:tr>
      <w:tr>
        <w:trPr>
          <w:trHeight w:val="244"/>
        </w:trPr>
        <w:tc>
          <w:tcPr>
            <w:tcW w:w="8560" w:type="dxa"/>
            <w:vAlign w:val="bottom"/>
            <w:shd w:val="clear" w:color="auto" w:fill="C0C0C0"/>
          </w:tcPr>
          <w:p>
            <w:pPr>
              <w:spacing w:after="0"/>
              <w:rPr>
                <w:sz w:val="20"/>
                <w:szCs w:val="20"/>
                <w:color w:val="auto"/>
              </w:rPr>
            </w:pPr>
            <w:r>
              <w:rPr>
                <w:rFonts w:ascii="Arial" w:cs="Arial" w:eastAsia="Arial" w:hAnsi="Arial"/>
                <w:sz w:val="18"/>
                <w:szCs w:val="18"/>
                <w:color w:val="auto"/>
              </w:rPr>
              <w:t>Less current portion of net minimum lease payments</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10,694</w:t>
            </w:r>
          </w:p>
        </w:tc>
      </w:tr>
      <w:tr>
        <w:trPr>
          <w:trHeight w:val="250"/>
        </w:trPr>
        <w:tc>
          <w:tcPr>
            <w:tcW w:w="8560" w:type="dxa"/>
            <w:vAlign w:val="bottom"/>
          </w:tcPr>
          <w:p>
            <w:pPr>
              <w:spacing w:after="0"/>
              <w:rPr>
                <w:sz w:val="20"/>
                <w:szCs w:val="20"/>
                <w:color w:val="auto"/>
              </w:rPr>
            </w:pPr>
            <w:r>
              <w:rPr>
                <w:rFonts w:ascii="Arial" w:cs="Arial" w:eastAsia="Arial" w:hAnsi="Arial"/>
                <w:sz w:val="18"/>
                <w:szCs w:val="18"/>
                <w:color w:val="auto"/>
              </w:rPr>
              <w:t>Long-term portion of minimum lease payments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$14,171</w:t>
            </w:r>
          </w:p>
        </w:tc>
      </w:tr>
    </w:tbl>
    <w:p>
      <w:pPr>
        <w:spacing w:after="0" w:line="235"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On February 12, 2010, the Company amended its revolving credit facility, which was originally established on June 6, 2007, to a three-year $50 million revolving credit facility ("the credit facility"). At the time of the February 12, 2010, amendment, the then existing revolving credit facility and term loan were repaid in full with borrowings from the credit facility of $20.8 million and, in connection therewith, the Company wrote off $1.0 million of deferred financing fees. On May 7, 2010, the credit facility was further amended to increase its borrowing capacity to $65 million. The credit facility bears interest (3.81% at October 31, 2010) at LIBOR plus a spread, as defined in the agreement, based upon the Company's total leverage ratio. As of October 31, 2010, the Company had $5.0 million in outstanding borrowings under the credit facility and $60.0 mill ion was available for borrowing. On January 5, 2011, a $10 million irrevocable stand-by letter of credit, for the purchase of manufacturing equipment, was issued under the Company's revolving credit facility.</w:t>
      </w:r>
    </w:p>
    <w:p>
      <w:pPr>
        <w:spacing w:after="0" w:line="199" w:lineRule="exact"/>
        <w:rPr>
          <w:sz w:val="20"/>
          <w:szCs w:val="20"/>
          <w:color w:val="auto"/>
        </w:rPr>
      </w:pPr>
    </w:p>
    <w:p>
      <w:pPr>
        <w:ind w:right="10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is subject to the following financial covenants: fixed charge coverage ratio, total leverage ratio, minimum unrestricted cash balance, and maximum capital expenditures, all as defined in the agreement.</w:t>
      </w:r>
    </w:p>
    <w:p>
      <w:pPr>
        <w:spacing w:after="0" w:line="188" w:lineRule="exact"/>
        <w:rPr>
          <w:sz w:val="20"/>
          <w:szCs w:val="20"/>
          <w:color w:val="auto"/>
        </w:rPr>
      </w:pPr>
    </w:p>
    <w:p>
      <w:pPr>
        <w:ind w:right="140" w:firstLine="270"/>
        <w:spacing w:after="0" w:line="310" w:lineRule="auto"/>
        <w:rPr>
          <w:sz w:val="20"/>
          <w:szCs w:val="20"/>
          <w:color w:val="auto"/>
        </w:rPr>
      </w:pPr>
      <w:r>
        <w:rPr>
          <w:rFonts w:ascii="Arial" w:cs="Arial" w:eastAsia="Arial" w:hAnsi="Arial"/>
          <w:sz w:val="15"/>
          <w:szCs w:val="15"/>
          <w:color w:val="auto"/>
        </w:rPr>
        <w:t>In May 2009, the Company amended its then existing revolving credit facility and entered into a warrant agreement with its lenders for 2.1 million shares of its common stock. Forty percent of the warrants were exercisable upon issuance while the remaining warrants were cancelled as a result of the Company's September 2009 early repayment of a portion of the outstanding balance under its June 6, 2007 credit agreement. As of October 31, 2010, approximately 0.5 million warrants have been exercised, including 0.4 million of which were exercised during fiscal 2010. The warrants, approximately 0.3 million of which remained outstanding at October 31, 2010, are exercisable for one share of the Company's common stock at an exercise price of $.01 per share. The warrant agreement also included a net cash settleable put provision exercisable starting in May 2012 and a net cash settleable call provision exercisable starting in May 2013, both of which were exercisable only if the Company's common stock was not traded on a national exchange. As a result of the aforementioned net cash settleable put provision, the warrants were initially recorded as a liability (included in other liabilities) and have been subsequently reported at their fair value.</w:t>
      </w:r>
    </w:p>
    <w:p>
      <w:pPr>
        <w:spacing w:after="0" w:line="189" w:lineRule="exact"/>
        <w:rPr>
          <w:sz w:val="20"/>
          <w:szCs w:val="20"/>
          <w:color w:val="auto"/>
        </w:rPr>
      </w:pPr>
    </w:p>
    <w:p>
      <w:pPr>
        <w:ind w:right="900" w:firstLine="270"/>
        <w:spacing w:after="0" w:line="268" w:lineRule="auto"/>
        <w:rPr>
          <w:sz w:val="20"/>
          <w:szCs w:val="20"/>
          <w:color w:val="auto"/>
        </w:rPr>
      </w:pPr>
      <w:r>
        <w:rPr>
          <w:rFonts w:ascii="Arial" w:cs="Arial" w:eastAsia="Arial" w:hAnsi="Arial"/>
          <w:sz w:val="18"/>
          <w:szCs w:val="18"/>
          <w:color w:val="auto"/>
        </w:rPr>
        <w:t>In addition to the former credit facility discussed above, the Company also entered into a term loan agreement on June 8, 2009, with an aggregate commitment of $27.2 million. This loan was repaid in February 2010 with funds from the credit facility.</w:t>
      </w:r>
    </w:p>
    <w:p>
      <w:pPr>
        <w:spacing w:after="0" w:line="213"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 which were used to reduce outstanding amounts under the Company's then existing credit facility.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9" w:name="page50"/>
    <w:bookmarkEnd w:id="49"/>
    <w:p>
      <w:pPr>
        <w:jc w:val="both"/>
        <w:ind w:right="320" w:firstLine="220"/>
        <w:spacing w:after="0" w:line="259" w:lineRule="auto"/>
        <w:rPr>
          <w:sz w:val="20"/>
          <w:szCs w:val="20"/>
          <w:color w:val="auto"/>
        </w:rPr>
      </w:pPr>
      <w:r>
        <w:rPr>
          <w:rFonts w:ascii="Arial" w:cs="Arial" w:eastAsia="Arial" w:hAnsi="Arial"/>
          <w:sz w:val="18"/>
          <w:szCs w:val="18"/>
          <w:color w:val="auto"/>
        </w:rPr>
        <w:t>In January 2010 the Company borrowed $3.7 million from a customer to purchase manufacturing equipment. This loan bears interest at 4.75% and will be repaid with product supplied to the customer. Product valued at $0.7 million was shipped to the customer and applied against the loan during fiscal 2010. The Company estimates that the loan will be fully repaid in fiscal 2014.</w:t>
      </w:r>
    </w:p>
    <w:p>
      <w:pPr>
        <w:spacing w:after="0" w:line="22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 pital lease until the end of its original lease term. For the additional two years of the new lease term, the lease will be accounted for as an operating lease. As of October 31, 2010, total capital lease amounts payable were $17.9 million, of which $16.2 million represented principal and $1.7 million represented interest.</w:t>
      </w:r>
    </w:p>
    <w:p>
      <w:pPr>
        <w:spacing w:after="0" w:line="199"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221"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Interest payments were $7.8 million, $20.8 million and $12.5 million in fiscal 2010, 2009 and 2008, respectively, including deferred financing cost payments of $1.3 million, $6.5 million and $1.6 million in fiscal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COMMON STOCK WARRANTS</w:t>
      </w:r>
    </w:p>
    <w:p>
      <w:pPr>
        <w:spacing w:after="0" w:line="258"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 g of September 11, 2009. The warrants were recorded at their fair value on their date of grant, which was determined using the Black-Scholes option pricing model. As of October 31, 2010, none of the warrants issued to Intel Capital Corporation had been exercised.</w:t>
      </w:r>
    </w:p>
    <w:p>
      <w:pPr>
        <w:spacing w:after="0" w:line="199" w:lineRule="exact"/>
        <w:rPr>
          <w:sz w:val="20"/>
          <w:szCs w:val="20"/>
          <w:color w:val="auto"/>
        </w:rPr>
      </w:pPr>
    </w:p>
    <w:p>
      <w:pPr>
        <w:ind w:right="380" w:firstLine="270"/>
        <w:spacing w:after="0" w:line="268" w:lineRule="auto"/>
        <w:rPr>
          <w:sz w:val="20"/>
          <w:szCs w:val="20"/>
          <w:color w:val="auto"/>
        </w:rPr>
      </w:pPr>
      <w:r>
        <w:rPr>
          <w:rFonts w:ascii="Arial" w:cs="Arial" w:eastAsia="Arial" w:hAnsi="Arial"/>
          <w:sz w:val="18"/>
          <w:szCs w:val="18"/>
          <w:color w:val="auto"/>
        </w:rPr>
        <w:t>In conjunction with the May 2009 amendment to its then existing credit facility, the Company also entered into a warrant agreement with its lenders. See Notes 6 and 7 for further discussion of these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58" w:lineRule="exact"/>
        <w:rPr>
          <w:sz w:val="20"/>
          <w:szCs w:val="20"/>
          <w:color w:val="auto"/>
        </w:rPr>
      </w:pPr>
    </w:p>
    <w:p>
      <w:pPr>
        <w:ind w:right="120" w:firstLine="270"/>
        <w:spacing w:after="0" w:line="298" w:lineRule="auto"/>
        <w:rPr>
          <w:sz w:val="20"/>
          <w:szCs w:val="20"/>
          <w:color w:val="auto"/>
        </w:rPr>
      </w:pPr>
      <w:r>
        <w:rPr>
          <w:rFonts w:ascii="Arial" w:cs="Arial" w:eastAsia="Arial" w:hAnsi="Arial"/>
          <w:sz w:val="16"/>
          <w:szCs w:val="16"/>
          <w:color w:val="auto"/>
        </w:rPr>
        <w:t>The Company leases various real estate and equipment under non-cancelable operating leases. Rental expense under such leases amounted to $2.9 million in fiscal 2010, $3.6 million in fiscal 2009 and $3.1 million in fiscal 2008. As discussed in Note 7, in fiscal 2009, the Company entered into a new lease agreement for the U.S. nanoFab, under which the lease will be accounted for as a capital lease through December 31, 2012 (the end date of its original lease term) and, thereafter, as an operating lease through its expiration on December 31, 2014.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0" w:name="page51"/>
    <w:bookmarkEnd w:id="50"/>
    <w:p>
      <w:pPr>
        <w:ind w:left="280"/>
        <w:spacing w:after="0"/>
        <w:rPr>
          <w:sz w:val="20"/>
          <w:szCs w:val="20"/>
          <w:color w:val="auto"/>
        </w:rPr>
      </w:pPr>
      <w:r>
        <w:rPr>
          <w:rFonts w:ascii="Arial" w:cs="Arial" w:eastAsia="Arial" w:hAnsi="Arial"/>
          <w:sz w:val="16"/>
          <w:szCs w:val="16"/>
          <w:color w:val="auto"/>
        </w:rPr>
        <w:t>At October 31, 2010, future minimum lease payments under non-cancelable operating leases (including lease payments in 2013 and 2014 for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nanoFab facility discussed above) with initial terms in excess of one year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4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1,939</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2012</w:t>
            </w:r>
          </w:p>
        </w:tc>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51"/>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39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6,751</w:t>
            </w: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2014</w:t>
            </w:r>
          </w:p>
        </w:tc>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8,437</w:t>
            </w:r>
          </w:p>
        </w:tc>
      </w:tr>
      <w:tr>
        <w:trPr>
          <w:trHeight w:val="251"/>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2015</w:t>
            </w:r>
          </w:p>
        </w:tc>
        <w:tc>
          <w:tcPr>
            <w:tcW w:w="39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2,467</w:t>
            </w:r>
          </w:p>
        </w:tc>
      </w:tr>
      <w:tr>
        <w:trPr>
          <w:trHeight w:val="237"/>
        </w:trPr>
        <w:tc>
          <w:tcPr>
            <w:tcW w:w="46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Thereafter</w:t>
            </w:r>
          </w:p>
        </w:tc>
        <w:tc>
          <w:tcPr>
            <w:tcW w:w="392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r>
      <w:tr>
        <w:trPr>
          <w:trHeight w:val="235"/>
        </w:trPr>
        <w:tc>
          <w:tcPr>
            <w:tcW w:w="4640" w:type="dxa"/>
            <w:vAlign w:val="bottom"/>
            <w:shd w:val="clear" w:color="auto" w:fill="C0C0C0"/>
          </w:tcPr>
          <w:p>
            <w:pPr>
              <w:spacing w:after="0"/>
              <w:rPr>
                <w:sz w:val="20"/>
                <w:szCs w:val="20"/>
                <w:color w:val="auto"/>
              </w:rPr>
            </w:pPr>
          </w:p>
        </w:tc>
        <w:tc>
          <w:tcPr>
            <w:tcW w:w="4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22,609</w:t>
            </w:r>
          </w:p>
        </w:tc>
      </w:tr>
      <w:tr>
        <w:trPr>
          <w:trHeight w:val="35"/>
        </w:trPr>
        <w:tc>
          <w:tcPr>
            <w:tcW w:w="4640" w:type="dxa"/>
            <w:vAlign w:val="bottom"/>
            <w:shd w:val="clear" w:color="auto" w:fill="C0C0C0"/>
          </w:tcPr>
          <w:p>
            <w:pPr>
              <w:spacing w:after="0"/>
              <w:rPr>
                <w:sz w:val="3"/>
                <w:szCs w:val="3"/>
                <w:color w:val="auto"/>
              </w:rPr>
            </w:pPr>
          </w:p>
        </w:tc>
        <w:tc>
          <w:tcPr>
            <w:tcW w:w="392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r>
    </w:tbl>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for disclosures related to the Company's capital lease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58" w:lineRule="exact"/>
        <w:rPr>
          <w:sz w:val="20"/>
          <w:szCs w:val="20"/>
          <w:color w:val="auto"/>
        </w:rPr>
      </w:pPr>
    </w:p>
    <w:p>
      <w:pPr>
        <w:ind w:right="180" w:firstLine="270"/>
        <w:spacing w:after="0" w:line="288" w:lineRule="auto"/>
        <w:rPr>
          <w:sz w:val="20"/>
          <w:szCs w:val="20"/>
          <w:color w:val="auto"/>
        </w:rPr>
      </w:pPr>
      <w:r>
        <w:rPr>
          <w:rFonts w:ascii="Arial" w:cs="Arial" w:eastAsia="Arial" w:hAnsi="Arial"/>
          <w:sz w:val="16"/>
          <w:szCs w:val="16"/>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3.0 million shares to 6.0 million shares during the second fiscal quarter of 2010. Awards may be granted to officers, employees, directors, consultants, advisors, and independent contractors of the Company or its subsidiaries. In the event of a change in control (as defined in the Plan), the vesting of awards may be accele rated. The Plan, aspects of which are more fully described below, prohibits further awards from being issued under prior plans. The Company incurred total share-based compensation cost of $1.9 million, $2.1 million and $2.6 million in fiscal years 2010, 2009 and 2008, respectively. No share-based compensation cost was capitalized as part of inventory and no related income tax benefits were recorded during the fiscal years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8" w:lineRule="exact"/>
        <w:rPr>
          <w:sz w:val="20"/>
          <w:szCs w:val="20"/>
          <w:color w:val="auto"/>
        </w:rPr>
      </w:pPr>
    </w:p>
    <w:p>
      <w:pPr>
        <w:ind w:right="240" w:firstLine="270"/>
        <w:spacing w:after="0" w:line="290" w:lineRule="auto"/>
        <w:rPr>
          <w:sz w:val="20"/>
          <w:szCs w:val="20"/>
          <w:color w:val="auto"/>
        </w:rPr>
      </w:pPr>
      <w:r>
        <w:rPr>
          <w:rFonts w:ascii="Arial" w:cs="Arial" w:eastAsia="Arial" w:hAnsi="Arial"/>
          <w:sz w:val="16"/>
          <w:szCs w:val="16"/>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 of options is generally based on the closing price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time of grant. The weighted average inputs and risk-free ra te of return ranges used to calculate the grant date fair values of options issued during fiscal years 2010, 2009 and 2008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4"/>
              </w:rPr>
              <w:t>Year Ended</w:t>
            </w:r>
          </w:p>
        </w:tc>
        <w:tc>
          <w:tcPr>
            <w:tcW w:w="960" w:type="dxa"/>
            <w:vAlign w:val="bottom"/>
            <w:tcBorders>
              <w:bottom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228"/>
        </w:trPr>
        <w:tc>
          <w:tcPr>
            <w:tcW w:w="3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October 31,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November 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6"/>
              </w:rPr>
              <w:t>November 2,</w:t>
            </w:r>
          </w:p>
        </w:tc>
        <w:tc>
          <w:tcPr>
            <w:tcW w:w="2300" w:type="dxa"/>
            <w:vAlign w:val="bottom"/>
          </w:tcPr>
          <w:p>
            <w:pPr>
              <w:spacing w:after="0"/>
              <w:rPr>
                <w:sz w:val="19"/>
                <w:szCs w:val="19"/>
                <w:color w:val="auto"/>
              </w:rPr>
            </w:pPr>
          </w:p>
        </w:tc>
      </w:tr>
      <w:tr>
        <w:trPr>
          <w:trHeight w:val="251"/>
        </w:trPr>
        <w:tc>
          <w:tcPr>
            <w:tcW w:w="3620" w:type="dxa"/>
            <w:vAlign w:val="bottom"/>
            <w:tcBorders>
              <w:bottom w:val="single" w:sz="8" w:color="C0C0C0"/>
            </w:tcBorders>
          </w:tcPr>
          <w:p>
            <w:pPr>
              <w:spacing w:after="0"/>
              <w:rPr>
                <w:sz w:val="21"/>
                <w:szCs w:val="21"/>
                <w:color w:val="auto"/>
              </w:rPr>
            </w:pPr>
          </w:p>
        </w:tc>
        <w:tc>
          <w:tcPr>
            <w:tcW w:w="228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300" w:type="dxa"/>
            <w:vAlign w:val="bottom"/>
          </w:tcPr>
          <w:p>
            <w:pPr>
              <w:spacing w:after="0"/>
              <w:rPr>
                <w:sz w:val="21"/>
                <w:szCs w:val="21"/>
                <w:color w:val="auto"/>
              </w:rPr>
            </w:pPr>
          </w:p>
        </w:tc>
      </w:tr>
      <w:tr>
        <w:trPr>
          <w:trHeight w:val="243"/>
        </w:trPr>
        <w:tc>
          <w:tcPr>
            <w:tcW w:w="3620" w:type="dxa"/>
            <w:vAlign w:val="bottom"/>
            <w:shd w:val="clear" w:color="auto" w:fill="C0C0C0"/>
          </w:tcPr>
          <w:p>
            <w:pPr>
              <w:spacing w:after="0"/>
              <w:rPr>
                <w:sz w:val="20"/>
                <w:szCs w:val="20"/>
                <w:color w:val="auto"/>
              </w:rPr>
            </w:pPr>
            <w:r>
              <w:rPr>
                <w:rFonts w:ascii="Arial" w:cs="Arial" w:eastAsia="Arial" w:hAnsi="Arial"/>
                <w:sz w:val="18"/>
                <w:szCs w:val="18"/>
                <w:color w:val="auto"/>
              </w:rPr>
              <w:t>Expected volatility</w:t>
            </w:r>
          </w:p>
        </w:tc>
        <w:tc>
          <w:tcPr>
            <w:tcW w:w="3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43.1%</w:t>
            </w:r>
          </w:p>
        </w:tc>
        <w:tc>
          <w:tcPr>
            <w:tcW w:w="2300" w:type="dxa"/>
            <w:vAlign w:val="bottom"/>
          </w:tcPr>
          <w:p>
            <w:pPr>
              <w:spacing w:after="0"/>
              <w:rPr>
                <w:sz w:val="21"/>
                <w:szCs w:val="21"/>
                <w:color w:val="auto"/>
              </w:rPr>
            </w:pPr>
          </w:p>
        </w:tc>
      </w:tr>
      <w:tr>
        <w:trPr>
          <w:trHeight w:val="235"/>
        </w:trPr>
        <w:tc>
          <w:tcPr>
            <w:tcW w:w="362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 – 2.4%</w:t>
            </w:r>
          </w:p>
        </w:tc>
        <w:tc>
          <w:tcPr>
            <w:tcW w:w="960" w:type="dxa"/>
            <w:vAlign w:val="bottom"/>
          </w:tcPr>
          <w:p>
            <w:pPr>
              <w:jc w:val="right"/>
              <w:spacing w:after="0"/>
              <w:rPr>
                <w:sz w:val="20"/>
                <w:szCs w:val="20"/>
                <w:color w:val="auto"/>
              </w:rPr>
            </w:pPr>
            <w:r>
              <w:rPr>
                <w:rFonts w:ascii="Arial" w:cs="Arial" w:eastAsia="Arial" w:hAnsi="Arial"/>
                <w:sz w:val="18"/>
                <w:szCs w:val="18"/>
                <w:color w:val="auto"/>
              </w:rPr>
              <w:t>1.9 - 2.5%</w:t>
            </w:r>
          </w:p>
        </w:tc>
        <w:tc>
          <w:tcPr>
            <w:tcW w:w="220" w:type="dxa"/>
            <w:vAlign w:val="bottom"/>
          </w:tcPr>
          <w:p>
            <w:pPr>
              <w:spacing w:after="0"/>
              <w:rPr>
                <w:sz w:val="20"/>
                <w:szCs w:val="20"/>
                <w:color w:val="auto"/>
              </w:rPr>
            </w:pPr>
          </w:p>
        </w:tc>
        <w:tc>
          <w:tcPr>
            <w:tcW w:w="3260" w:type="dxa"/>
            <w:vAlign w:val="bottom"/>
            <w:gridSpan w:val="2"/>
          </w:tcPr>
          <w:p>
            <w:pPr>
              <w:jc w:val="right"/>
              <w:ind w:right="2300"/>
              <w:spacing w:after="0"/>
              <w:rPr>
                <w:sz w:val="20"/>
                <w:szCs w:val="20"/>
                <w:color w:val="auto"/>
              </w:rPr>
            </w:pPr>
            <w:r>
              <w:rPr>
                <w:rFonts w:ascii="Arial" w:cs="Arial" w:eastAsia="Arial" w:hAnsi="Arial"/>
                <w:sz w:val="18"/>
                <w:szCs w:val="18"/>
                <w:color w:val="auto"/>
              </w:rPr>
              <w:t>2.99%</w:t>
            </w:r>
          </w:p>
        </w:tc>
      </w:tr>
      <w:tr>
        <w:trPr>
          <w:trHeight w:val="251"/>
        </w:trPr>
        <w:tc>
          <w:tcPr>
            <w:tcW w:w="362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3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w:t>
            </w:r>
          </w:p>
        </w:tc>
        <w:tc>
          <w:tcPr>
            <w:tcW w:w="2300" w:type="dxa"/>
            <w:vAlign w:val="bottom"/>
          </w:tcPr>
          <w:p>
            <w:pPr>
              <w:spacing w:after="0"/>
              <w:rPr>
                <w:sz w:val="21"/>
                <w:szCs w:val="21"/>
                <w:color w:val="auto"/>
              </w:rPr>
            </w:pPr>
          </w:p>
        </w:tc>
      </w:tr>
      <w:tr>
        <w:trPr>
          <w:trHeight w:val="228"/>
        </w:trPr>
        <w:tc>
          <w:tcPr>
            <w:tcW w:w="3620" w:type="dxa"/>
            <w:vAlign w:val="bottom"/>
          </w:tcPr>
          <w:p>
            <w:pPr>
              <w:spacing w:after="0"/>
              <w:rPr>
                <w:sz w:val="20"/>
                <w:szCs w:val="20"/>
                <w:color w:val="auto"/>
              </w:rPr>
            </w:pPr>
            <w:r>
              <w:rPr>
                <w:rFonts w:ascii="Arial" w:cs="Arial" w:eastAsia="Arial" w:hAnsi="Arial"/>
                <w:sz w:val="18"/>
                <w:szCs w:val="18"/>
                <w:color w:val="auto"/>
              </w:rPr>
              <w:t>Expected term</w:t>
            </w:r>
          </w:p>
        </w:tc>
        <w:tc>
          <w:tcPr>
            <w:tcW w:w="2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 years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 years</w:t>
            </w:r>
          </w:p>
        </w:tc>
        <w:tc>
          <w:tcPr>
            <w:tcW w:w="3260" w:type="dxa"/>
            <w:vAlign w:val="bottom"/>
            <w:gridSpan w:val="2"/>
          </w:tcPr>
          <w:p>
            <w:pPr>
              <w:jc w:val="right"/>
              <w:ind w:right="2300"/>
              <w:spacing w:after="0"/>
              <w:rPr>
                <w:sz w:val="20"/>
                <w:szCs w:val="20"/>
                <w:color w:val="auto"/>
              </w:rPr>
            </w:pPr>
            <w:r>
              <w:rPr>
                <w:rFonts w:ascii="Arial" w:cs="Arial" w:eastAsia="Arial" w:hAnsi="Arial"/>
                <w:sz w:val="18"/>
                <w:szCs w:val="18"/>
                <w:color w:val="auto"/>
              </w:rPr>
              <w:t>4.7 years</w:t>
            </w:r>
          </w:p>
        </w:tc>
      </w:tr>
      <w:tr>
        <w:trPr>
          <w:trHeight w:val="446"/>
        </w:trPr>
        <w:tc>
          <w:tcPr>
            <w:tcW w:w="3620" w:type="dxa"/>
            <w:vAlign w:val="bottom"/>
          </w:tcPr>
          <w:p>
            <w:pPr>
              <w:spacing w:after="0"/>
              <w:rPr>
                <w:sz w:val="24"/>
                <w:szCs w:val="24"/>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3"/>
        </w:trPr>
        <w:tc>
          <w:tcPr>
            <w:tcW w:w="36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color w:val="auto"/>
        </w:rPr>
        <w:t>A summary of option activity under the Plan as of October 31, 2010, and changes during the year then ended is presented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Weighted-Average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5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8"/>
              </w:rPr>
              <w:t>Weighted-Average</w:t>
            </w: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Remaining</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Aggregate</w:t>
            </w:r>
          </w:p>
        </w:tc>
      </w:tr>
      <w:tr>
        <w:trPr>
          <w:trHeight w:val="252"/>
        </w:trPr>
        <w:tc>
          <w:tcPr>
            <w:tcW w:w="588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Options</w:t>
            </w: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Borders>
              <w:bottom w:val="single" w:sz="8" w:color="C0C0C0"/>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Contractual Life</w:t>
            </w:r>
          </w:p>
        </w:tc>
        <w:tc>
          <w:tcPr>
            <w:tcW w:w="220" w:type="dxa"/>
            <w:vAlign w:val="bottom"/>
            <w:tcBorders>
              <w:bottom w:val="single" w:sz="8" w:color="C0C0C0"/>
            </w:tcBorders>
          </w:tcPr>
          <w:p>
            <w:pPr>
              <w:spacing w:after="0"/>
              <w:rPr>
                <w:sz w:val="21"/>
                <w:szCs w:val="21"/>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Intrinsic Value</w:t>
            </w:r>
          </w:p>
        </w:tc>
      </w:tr>
      <w:tr>
        <w:trPr>
          <w:trHeight w:val="243"/>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November 1, 2009</w:t>
            </w:r>
          </w:p>
        </w:tc>
        <w:tc>
          <w:tcPr>
            <w:tcW w:w="1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3,333,858</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11.21</w:t>
            </w:r>
          </w:p>
        </w:tc>
        <w:tc>
          <w:tcPr>
            <w:tcW w:w="14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35"/>
        </w:trPr>
        <w:tc>
          <w:tcPr>
            <w:tcW w:w="588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rPr>
              <w:t>968,400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(114,749)</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0.76</w:t>
            </w:r>
          </w:p>
        </w:tc>
        <w:tc>
          <w:tcPr>
            <w:tcW w:w="14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37"/>
        </w:trPr>
        <w:tc>
          <w:tcPr>
            <w:tcW w:w="58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Cancelled and forfeited</w:t>
            </w:r>
          </w:p>
        </w:tc>
        <w:tc>
          <w:tcPr>
            <w:tcW w:w="22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(285,600)</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460" w:type="dxa"/>
            <w:vAlign w:val="bottom"/>
            <w:tcBorders>
              <w:bottom w:val="single" w:sz="8" w:color="C0C0C0"/>
            </w:tcBorders>
            <w:gridSpan w:val="2"/>
          </w:tcPr>
          <w:p>
            <w:pPr>
              <w:jc w:val="right"/>
              <w:ind w:right="220"/>
              <w:spacing w:after="0"/>
              <w:rPr>
                <w:sz w:val="20"/>
                <w:szCs w:val="20"/>
                <w:color w:val="auto"/>
              </w:rPr>
            </w:pPr>
            <w:r>
              <w:rPr>
                <w:rFonts w:ascii="Arial" w:cs="Arial" w:eastAsia="Arial" w:hAnsi="Arial"/>
                <w:sz w:val="18"/>
                <w:szCs w:val="18"/>
                <w:color w:val="auto"/>
              </w:rPr>
              <w:t>18.03</w:t>
            </w:r>
          </w:p>
        </w:tc>
        <w:tc>
          <w:tcPr>
            <w:tcW w:w="14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r>
      <w:tr>
        <w:trPr>
          <w:trHeight w:val="242"/>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October 31, 2010</w:t>
            </w:r>
          </w:p>
        </w:tc>
        <w:tc>
          <w:tcPr>
            <w:tcW w:w="1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3,901,909</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9.34</w:t>
            </w:r>
          </w:p>
        </w:tc>
        <w:tc>
          <w:tcPr>
            <w:tcW w:w="16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6.5 years</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8,568</w:t>
            </w:r>
          </w:p>
        </w:tc>
      </w:tr>
      <w:tr>
        <w:trPr>
          <w:trHeight w:val="28"/>
        </w:trPr>
        <w:tc>
          <w:tcPr>
            <w:tcW w:w="588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242"/>
        </w:trPr>
        <w:tc>
          <w:tcPr>
            <w:tcW w:w="5880" w:type="dxa"/>
            <w:vAlign w:val="bottom"/>
          </w:tcPr>
          <w:p>
            <w:pPr>
              <w:spacing w:after="0"/>
              <w:rPr>
                <w:sz w:val="20"/>
                <w:szCs w:val="20"/>
                <w:color w:val="auto"/>
              </w:rPr>
            </w:pPr>
            <w:r>
              <w:rPr>
                <w:rFonts w:ascii="Arial" w:cs="Arial" w:eastAsia="Arial" w:hAnsi="Arial"/>
                <w:sz w:val="18"/>
                <w:szCs w:val="18"/>
                <w:color w:val="auto"/>
              </w:rPr>
              <w:t>Exercisable at October 31, 2010</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rPr>
              <w:t>1,933,355</w:t>
            </w:r>
          </w:p>
        </w:tc>
        <w:tc>
          <w:tcPr>
            <w:tcW w:w="2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4.4 years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8"/>
        </w:trPr>
        <w:tc>
          <w:tcPr>
            <w:tcW w:w="588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242"/>
        </w:trPr>
        <w:tc>
          <w:tcPr>
            <w:tcW w:w="5880" w:type="dxa"/>
            <w:vAlign w:val="bottom"/>
            <w:shd w:val="clear" w:color="auto" w:fill="C0C0C0"/>
          </w:tcPr>
          <w:p>
            <w:pPr>
              <w:spacing w:after="0"/>
              <w:rPr>
                <w:sz w:val="20"/>
                <w:szCs w:val="20"/>
                <w:color w:val="auto"/>
              </w:rPr>
            </w:pPr>
            <w:r>
              <w:rPr>
                <w:rFonts w:ascii="Arial" w:cs="Arial" w:eastAsia="Arial" w:hAnsi="Arial"/>
                <w:sz w:val="18"/>
                <w:szCs w:val="18"/>
                <w:color w:val="auto"/>
              </w:rPr>
              <w:t>Expected to vest as of October 31, 2010</w:t>
            </w:r>
          </w:p>
        </w:tc>
        <w:tc>
          <w:tcPr>
            <w:tcW w:w="10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1,728,035</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2.45</w:t>
            </w:r>
          </w:p>
        </w:tc>
        <w:tc>
          <w:tcPr>
            <w:tcW w:w="16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8.5 years</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6,691</w:t>
            </w:r>
          </w:p>
        </w:tc>
      </w:tr>
      <w:tr>
        <w:trPr>
          <w:trHeight w:val="28"/>
        </w:trPr>
        <w:tc>
          <w:tcPr>
            <w:tcW w:w="588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weighted-average grant date fair values of options granted during the fiscal years 2010, 2009 and 2008 were $2.98, $0.44 and $1.86, respectively. The total intrinsic value of options exercised during fiscal year 2010 was $0.4 million. There were no options exercised during fiscal years 2009 and 2008. A summary of the status of the Company's unvested options as of October 31, 2010, is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Weighted-Average</w:t>
            </w:r>
          </w:p>
        </w:tc>
      </w:tr>
      <w:tr>
        <w:trPr>
          <w:trHeight w:val="243"/>
        </w:trPr>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color w:val="auto"/>
              </w:rPr>
              <w:t>Fair Value</w:t>
            </w:r>
          </w:p>
        </w:tc>
      </w:tr>
      <w:tr>
        <w:trPr>
          <w:trHeight w:val="252"/>
        </w:trPr>
        <w:tc>
          <w:tcPr>
            <w:tcW w:w="654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Unvested Options</w:t>
            </w:r>
          </w:p>
        </w:tc>
        <w:tc>
          <w:tcPr>
            <w:tcW w:w="22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5"/>
              </w:rPr>
              <w:t>at Grant Date</w:t>
            </w:r>
          </w:p>
        </w:tc>
      </w:tr>
      <w:tr>
        <w:trPr>
          <w:trHeight w:val="243"/>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Unvested at November 1, 2009</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1,514,819</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w:t>
            </w: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968,400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51"/>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(450,365)</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w:t>
            </w:r>
          </w:p>
        </w:tc>
      </w:tr>
      <w:tr>
        <w:trPr>
          <w:trHeight w:val="237"/>
        </w:trPr>
        <w:tc>
          <w:tcPr>
            <w:tcW w:w="65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Cancelled and forfeited</w:t>
            </w:r>
          </w:p>
        </w:tc>
        <w:tc>
          <w:tcPr>
            <w:tcW w:w="22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(64,300)</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26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3.07</w:t>
            </w:r>
          </w:p>
        </w:tc>
      </w:tr>
      <w:tr>
        <w:trPr>
          <w:trHeight w:val="250"/>
        </w:trPr>
        <w:tc>
          <w:tcPr>
            <w:tcW w:w="65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Unvested at October 31, 2010</w:t>
            </w:r>
          </w:p>
        </w:tc>
        <w:tc>
          <w:tcPr>
            <w:tcW w:w="22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4"/>
              </w:rPr>
              <w:t>1,968,554</w:t>
            </w:r>
          </w:p>
        </w:tc>
        <w:tc>
          <w:tcPr>
            <w:tcW w:w="22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1.71</w:t>
            </w:r>
          </w:p>
        </w:tc>
      </w:tr>
    </w:tbl>
    <w:p>
      <w:pPr>
        <w:spacing w:after="0" w:line="235"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color w:val="auto"/>
        </w:rPr>
        <w:t>The Company received cash from options exercises of $0.1 million in fiscal 2010, and there were no options exercised during fiscal years 2009 and 2008. As of October 31, 2010, the total unrecognized compensation cost of unvested option awards was approximately $2.2 million. That cost is expected to be recognized over a weighted-average amortization period of 3.0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Restricted Stock</w:t>
      </w:r>
    </w:p>
    <w:p>
      <w:pPr>
        <w:spacing w:after="0" w:line="258"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The Company periodically grants restricted stock awards. The restrictions on these awards lapse over a service period that has ranged from less-than-one to eight years. No restricted stock awards were granted during fiscal 2010. The weighted-average grant date fair values of restricted stock awards issued during fiscal years 2009 and 2008 were $0.76 and $11.72, respectively. The aggregate intrinsic values of awards for which restrictions lapsed during fiscal years 2010, 2009 and 2008 was $0.4 million, $0.3 million and $0.6 million, respectively. As of October 31, 2010, the total compensation cost for restricted stock awards not yet recognized was approximately $1.2 million. That cost is expected to be recognized over a weighted-average amortization period of 2.9 years. A summary of the status of the Company's outstanding restricted stock awards as of Octobe r 31, 2010, is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Average</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at Grant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Intrinsic</w:t>
            </w:r>
          </w:p>
        </w:tc>
      </w:tr>
      <w:tr>
        <w:trPr>
          <w:trHeight w:val="252"/>
        </w:trPr>
        <w:tc>
          <w:tcPr>
            <w:tcW w:w="6500" w:type="dxa"/>
            <w:vAlign w:val="bottom"/>
          </w:tcPr>
          <w:p>
            <w:pPr>
              <w:ind w:left="2520"/>
              <w:spacing w:after="0"/>
              <w:rPr>
                <w:sz w:val="20"/>
                <w:szCs w:val="20"/>
                <w:color w:val="auto"/>
              </w:rPr>
            </w:pPr>
            <w:r>
              <w:rPr>
                <w:rFonts w:ascii="Arial" w:cs="Arial" w:eastAsia="Arial" w:hAnsi="Arial"/>
                <w:sz w:val="18"/>
                <w:szCs w:val="18"/>
                <w:b w:val="1"/>
                <w:bCs w:val="1"/>
                <w:color w:val="auto"/>
              </w:rPr>
              <w:t>Restricted Stock</w:t>
            </w: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1"/>
                <w:szCs w:val="21"/>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65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Outstanding at November 1, 2009</w:t>
            </w:r>
          </w:p>
        </w:tc>
        <w:tc>
          <w:tcPr>
            <w:tcW w:w="6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170,285</w:t>
            </w: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r>
      <w:tr>
        <w:trPr>
          <w:trHeight w:val="235"/>
        </w:trPr>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1"/>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Vested</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(57,888)</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9.53</w:t>
            </w: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37"/>
        </w:trPr>
        <w:tc>
          <w:tcPr>
            <w:tcW w:w="65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Cancelled and 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(15,125)</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16.16</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r>
      <w:tr>
        <w:trPr>
          <w:trHeight w:val="250"/>
        </w:trPr>
        <w:tc>
          <w:tcPr>
            <w:tcW w:w="6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Outstanding at October 31, 2010</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97,272</w:t>
            </w:r>
          </w:p>
        </w:tc>
        <w:tc>
          <w:tcPr>
            <w:tcW w:w="2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6500" w:type="dxa"/>
            <w:vAlign w:val="bottom"/>
          </w:tcPr>
          <w:p>
            <w:pPr>
              <w:spacing w:after="0"/>
              <w:rPr>
                <w:sz w:val="20"/>
                <w:szCs w:val="20"/>
                <w:color w:val="auto"/>
              </w:rPr>
            </w:pPr>
            <w:r>
              <w:rPr>
                <w:rFonts w:ascii="Arial" w:cs="Arial" w:eastAsia="Arial" w:hAnsi="Arial"/>
                <w:sz w:val="18"/>
                <w:szCs w:val="18"/>
                <w:color w:val="auto"/>
              </w:rPr>
              <w:t>Expected to vest as of October 31, 2010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The Company's Employee Stock Purchase Plan ("ESPP") permits employees to purchase shares at 85% of the lower of the fair market value at the commencement of the offering or the last day of the payroll payment period. The maximum number of shares of common stock approved by the Company's shareholders to be purchased under the ESPP was increased from 0.9 million shares to 1.2 million shares during the second fiscal quarter of 2010. The vesting period for shares purchased under the ESPP is approximately one year. Under the ESPP, approximately 0.9 million shares had been issued through October 31, 2010, and approximately 130,000 shares are subject to outstanding subscriptions. As of October 31, 2010, the total compensation cost related to the ESPP not yet recognized was $0.1 million, all of which is expected to be recognized within fiscal 2011.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5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The Company maintains a 401(k) Savings and Profit Sharing Plan ("401(k) Plan") which covers all full-time domestic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Employer contributions amounted to $0.4 million, $0.2 million and $0.5 million in fiscal years 2010, 2009 and 2008.</w:t>
      </w:r>
    </w:p>
    <w:p>
      <w:pPr>
        <w:spacing w:after="0" w:line="224"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Company's international subsidiaries maintain retirement plans for their employees, which vary by country. The obligations and cost of these plans are not significant to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CONSOLIDATION, RESTRUCTURING AND RELATED CHARGES (CREDITS)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Restructurings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52" w:lineRule="exact"/>
        <w:rPr>
          <w:sz w:val="20"/>
          <w:szCs w:val="20"/>
          <w:color w:val="auto"/>
        </w:rPr>
      </w:pPr>
    </w:p>
    <w:p>
      <w:pPr>
        <w:jc w:val="both"/>
        <w:ind w:right="80" w:firstLine="270"/>
        <w:spacing w:after="0" w:line="306"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In connection with this restructuring, the Company has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3" w:name="page54"/>
    <w:bookmarkEnd w:id="53"/>
    <w:p>
      <w:pPr>
        <w:ind w:right="40" w:firstLine="220"/>
        <w:spacing w:after="0" w:line="256" w:lineRule="auto"/>
        <w:rPr>
          <w:sz w:val="20"/>
          <w:szCs w:val="20"/>
          <w:color w:val="auto"/>
        </w:rPr>
      </w:pPr>
      <w:r>
        <w:rPr>
          <w:rFonts w:ascii="Arial" w:cs="Arial" w:eastAsia="Arial" w:hAnsi="Arial"/>
          <w:sz w:val="18"/>
          <w:szCs w:val="18"/>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which resulted in a gain of $5.4 million, which was recorded as a credit to the restructuring reserve in that quarter.</w:t>
      </w:r>
    </w:p>
    <w:p>
      <w:pPr>
        <w:spacing w:after="0" w:line="224"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The following tables set forth the Company's restructuring reserve as of October 31, 2010 and November 1, 2009, related to its Shanghai, China, facility, and reflect the activity affecting the reserve for the years then ended.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8"/>
              </w:rPr>
              <w:t>Year Ended October 31, 2010</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86"/>
              </w:rPr>
              <w:t>November 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Charges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9"/>
                <w:szCs w:val="19"/>
                <w:color w:val="auto"/>
              </w:rPr>
            </w:pPr>
          </w:p>
        </w:tc>
      </w:tr>
      <w:tr>
        <w:trPr>
          <w:trHeight w:val="251"/>
        </w:trPr>
        <w:tc>
          <w:tcPr>
            <w:tcW w:w="4820" w:type="dxa"/>
            <w:vAlign w:val="bottom"/>
            <w:tcBorders>
              <w:bottom w:val="single" w:sz="8" w:color="C0C0C0"/>
            </w:tcBorders>
          </w:tcPr>
          <w:p>
            <w:pPr>
              <w:spacing w:after="0"/>
              <w:rPr>
                <w:sz w:val="21"/>
                <w:szCs w:val="21"/>
                <w:color w:val="auto"/>
              </w:rPr>
            </w:pPr>
          </w:p>
        </w:tc>
        <w:tc>
          <w:tcPr>
            <w:tcW w:w="24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(credits)</w:t>
            </w:r>
          </w:p>
        </w:tc>
        <w:tc>
          <w:tcPr>
            <w:tcW w:w="2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Utilized</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4820" w:type="dxa"/>
            <w:vAlign w:val="bottom"/>
            <w:shd w:val="clear" w:color="auto" w:fill="C0C0C0"/>
          </w:tcPr>
          <w:p>
            <w:pPr>
              <w:spacing w:after="0"/>
              <w:rPr>
                <w:sz w:val="20"/>
                <w:szCs w:val="20"/>
                <w:color w:val="auto"/>
              </w:rPr>
            </w:pPr>
            <w:r>
              <w:rPr>
                <w:rFonts w:ascii="Arial" w:cs="Arial" w:eastAsia="Arial" w:hAnsi="Arial"/>
                <w:sz w:val="18"/>
                <w:szCs w:val="18"/>
                <w:color w:val="auto"/>
              </w:rPr>
              <w:t>Net gain on sale of assets</w:t>
            </w:r>
          </w:p>
        </w:tc>
        <w:tc>
          <w:tcPr>
            <w:tcW w:w="2680" w:type="dxa"/>
            <w:vAlign w:val="bottom"/>
            <w:gridSpan w:val="2"/>
            <w:shd w:val="clear" w:color="auto" w:fill="C0C0C0"/>
          </w:tcPr>
          <w:p>
            <w:pPr>
              <w:ind w:left="2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0C0C0"/>
          </w:tcPr>
          <w:p>
            <w:pPr>
              <w:spacing w:after="0"/>
              <w:rPr>
                <w:sz w:val="21"/>
                <w:szCs w:val="21"/>
                <w:color w:val="auto"/>
              </w:rPr>
            </w:pP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(5,189)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5,189</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4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Employee terminations and other</w:t>
            </w:r>
          </w:p>
        </w:tc>
        <w:tc>
          <w:tcPr>
            <w:tcW w:w="24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4820" w:type="dxa"/>
            <w:vAlign w:val="bottom"/>
            <w:tcBorders>
              <w:bottom w:val="single" w:sz="8" w:color="C0C0C0"/>
            </w:tcBorders>
            <w:shd w:val="clear" w:color="auto" w:fill="C0C0C0"/>
          </w:tcPr>
          <w:p>
            <w:pPr>
              <w:spacing w:after="0"/>
              <w:rPr>
                <w:sz w:val="21"/>
                <w:szCs w:val="21"/>
                <w:color w:val="auto"/>
              </w:rPr>
            </w:pPr>
          </w:p>
        </w:tc>
        <w:tc>
          <w:tcPr>
            <w:tcW w:w="248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(4,979)</w:t>
            </w:r>
          </w:p>
        </w:tc>
        <w:tc>
          <w:tcPr>
            <w:tcW w:w="200" w:type="dxa"/>
            <w:vAlign w:val="bottom"/>
            <w:tcBorders>
              <w:bottom w:val="single" w:sz="8" w:color="auto"/>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4,845</w:t>
            </w:r>
          </w:p>
        </w:tc>
        <w:tc>
          <w:tcPr>
            <w:tcW w:w="2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ind w:right="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9"/>
          </w:tcPr>
          <w:p>
            <w:pPr>
              <w:ind w:left="160"/>
              <w:spacing w:after="0"/>
              <w:rPr>
                <w:sz w:val="20"/>
                <w:szCs w:val="20"/>
                <w:color w:val="auto"/>
              </w:rPr>
            </w:pPr>
            <w:r>
              <w:rPr>
                <w:rFonts w:ascii="Arial" w:cs="Arial" w:eastAsia="Arial" w:hAnsi="Arial"/>
                <w:sz w:val="18"/>
                <w:szCs w:val="18"/>
                <w:b w:val="1"/>
                <w:bCs w:val="1"/>
                <w:color w:val="auto"/>
                <w:w w:val="94"/>
              </w:rPr>
              <w:t>Year Ended November 1, 2009</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November 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5"/>
              </w:rPr>
              <w:t>November 1,</w:t>
            </w:r>
          </w:p>
        </w:tc>
        <w:tc>
          <w:tcPr>
            <w:tcW w:w="20" w:type="dxa"/>
            <w:vAlign w:val="bottom"/>
          </w:tcPr>
          <w:p>
            <w:pPr>
              <w:spacing w:after="0"/>
              <w:rPr>
                <w:sz w:val="19"/>
                <w:szCs w:val="19"/>
                <w:color w:val="auto"/>
              </w:rPr>
            </w:pPr>
          </w:p>
        </w:tc>
      </w:tr>
      <w:tr>
        <w:trPr>
          <w:trHeight w:val="251"/>
        </w:trPr>
        <w:tc>
          <w:tcPr>
            <w:tcW w:w="4320" w:type="dxa"/>
            <w:vAlign w:val="bottom"/>
            <w:tcBorders>
              <w:bottom w:val="single" w:sz="8" w:color="C0C0C0"/>
            </w:tcBorders>
          </w:tcPr>
          <w:p>
            <w:pPr>
              <w:spacing w:after="0"/>
              <w:rPr>
                <w:sz w:val="21"/>
                <w:szCs w:val="21"/>
                <w:color w:val="auto"/>
              </w:rPr>
            </w:pPr>
          </w:p>
        </w:tc>
        <w:tc>
          <w:tcPr>
            <w:tcW w:w="29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88"/>
              </w:rPr>
              <w:t>Charges</w:t>
            </w:r>
          </w:p>
        </w:tc>
        <w:tc>
          <w:tcPr>
            <w:tcW w:w="2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Utilized</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Asset write-downs</w:t>
            </w:r>
          </w:p>
        </w:tc>
        <w:tc>
          <w:tcPr>
            <w:tcW w:w="3740" w:type="dxa"/>
            <w:vAlign w:val="bottom"/>
            <w:gridSpan w:val="2"/>
            <w:shd w:val="clear" w:color="auto" w:fill="C0C0C0"/>
          </w:tcPr>
          <w:p>
            <w:pPr>
              <w:ind w:left="2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9,908</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(9,908)</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43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0C0C0"/>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324</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0"/>
                <w:szCs w:val="20"/>
                <w:color w:val="auto"/>
              </w:rPr>
            </w:pPr>
          </w:p>
        </w:tc>
      </w:tr>
      <w:tr>
        <w:trPr>
          <w:trHeight w:val="250"/>
        </w:trPr>
        <w:tc>
          <w:tcPr>
            <w:tcW w:w="4320" w:type="dxa"/>
            <w:vAlign w:val="bottom"/>
            <w:tcBorders>
              <w:bottom w:val="single" w:sz="8" w:color="C0C0C0"/>
            </w:tcBorders>
            <w:shd w:val="clear" w:color="auto" w:fill="C0C0C0"/>
          </w:tcPr>
          <w:p>
            <w:pPr>
              <w:spacing w:after="0"/>
              <w:rPr>
                <w:sz w:val="21"/>
                <w:szCs w:val="21"/>
                <w:color w:val="auto"/>
              </w:rPr>
            </w:pPr>
          </w:p>
        </w:tc>
        <w:tc>
          <w:tcPr>
            <w:tcW w:w="298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4"/>
              </w:rPr>
              <w:t>10,232</w:t>
            </w:r>
          </w:p>
        </w:tc>
        <w:tc>
          <w:tcPr>
            <w:tcW w:w="20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(10,098)</w:t>
            </w:r>
          </w:p>
        </w:tc>
        <w:tc>
          <w:tcPr>
            <w:tcW w:w="2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1"/>
                <w:szCs w:val="2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52"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During the first quarter of fiscal 2009, the Company ceased the manufacture of photomasks at its Manchester, U.K., facility and, in connection therewith, incurred restructuring charges of $3.9 million through its completion in the fourth quarter of fiscal 2009, primarily for employee termination costs and asset write-downs. This initiative began in the fourth quarter of fiscal 2008 with the recording of a $0.5 million charge for the impairment of certain long-lived assets located at the facility. Approximately 85 employees were affected by this restructuring. The following table sets forth the Company's 2009 restructuring reserve related to its Manchester, U.K., facility as of November 1, 2009, and reflects the activity affecting the reserve for the year then 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w w:val="90"/>
              </w:rPr>
              <w:t>Year Ended November 1, 2009</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November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Charges</w:t>
            </w:r>
          </w:p>
        </w:tc>
        <w:tc>
          <w:tcPr>
            <w:tcW w:w="10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Utilized</w:t>
            </w:r>
          </w:p>
        </w:tc>
        <w:tc>
          <w:tcPr>
            <w:tcW w:w="220" w:type="dxa"/>
            <w:vAlign w:val="bottom"/>
          </w:tcPr>
          <w:p>
            <w:pPr>
              <w:spacing w:after="0"/>
              <w:rPr>
                <w:sz w:val="21"/>
                <w:szCs w:val="21"/>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82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3760" w:type="dxa"/>
            <w:vAlign w:val="bottom"/>
            <w:shd w:val="clear" w:color="auto" w:fill="C0C0C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vMerge w:val="continue"/>
            <w:shd w:val="clear" w:color="auto" w:fill="C0C0C0"/>
          </w:tcPr>
          <w:p>
            <w:pPr>
              <w:spacing w:after="0"/>
              <w:rPr>
                <w:sz w:val="21"/>
                <w:szCs w:val="21"/>
                <w:color w:val="auto"/>
              </w:rPr>
            </w:pPr>
          </w:p>
        </w:tc>
        <w:tc>
          <w:tcPr>
            <w:tcW w:w="37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7"/>
              </w:rPr>
              <w:t>2,375</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7"/>
              </w:rPr>
              <w:t>$ (2,375)</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r>
              <w:rPr>
                <w:rFonts w:ascii="Arial" w:cs="Arial" w:eastAsia="Arial" w:hAnsi="Arial"/>
                <w:sz w:val="18"/>
                <w:szCs w:val="18"/>
                <w:color w:val="auto"/>
              </w:rPr>
              <w:t>Asset write-downs and other</w:t>
            </w:r>
          </w:p>
        </w:tc>
        <w:tc>
          <w:tcPr>
            <w:tcW w:w="3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20" w:type="dxa"/>
            <w:vAlign w:val="bottom"/>
            <w:shd w:val="clear" w:color="auto" w:fill="C0C0C0"/>
          </w:tcPr>
          <w:p>
            <w:pPr>
              <w:spacing w:after="0" w:line="20" w:lineRule="exact"/>
              <w:rPr>
                <w:sz w:val="1"/>
                <w:szCs w:val="1"/>
                <w:color w:val="auto"/>
              </w:rPr>
            </w:pPr>
          </w:p>
        </w:tc>
        <w:tc>
          <w:tcPr>
            <w:tcW w:w="3760" w:type="dxa"/>
            <w:vAlign w:val="bottom"/>
            <w:shd w:val="clear" w:color="auto" w:fill="C0C0C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shd w:val="clear" w:color="auto" w:fill="C0C0C0"/>
          </w:tcPr>
          <w:p>
            <w:pPr>
              <w:spacing w:after="0"/>
              <w:rPr>
                <w:sz w:val="22"/>
                <w:szCs w:val="22"/>
                <w:color w:val="auto"/>
              </w:rPr>
            </w:pPr>
          </w:p>
        </w:tc>
        <w:tc>
          <w:tcPr>
            <w:tcW w:w="3760" w:type="dxa"/>
            <w:vAlign w:val="bottom"/>
            <w:shd w:val="clear" w:color="auto" w:fill="C0C0C0"/>
          </w:tcPr>
          <w:p>
            <w:pPr>
              <w:spacing w:after="0"/>
              <w:rPr>
                <w:sz w:val="22"/>
                <w:szCs w:val="22"/>
                <w:color w:val="auto"/>
              </w:rPr>
            </w:pPr>
          </w:p>
        </w:tc>
        <w:tc>
          <w:tcPr>
            <w:tcW w:w="7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7"/>
              </w:rPr>
              <w:t>3,325</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7"/>
              </w:rPr>
              <w:t>$ (3,325)</w:t>
            </w:r>
          </w:p>
        </w:tc>
        <w:tc>
          <w:tcPr>
            <w:tcW w:w="220" w:type="dxa"/>
            <w:vAlign w:val="bottom"/>
            <w:shd w:val="clear" w:color="auto" w:fill="C0C0C0"/>
          </w:tcPr>
          <w:p>
            <w:pPr>
              <w:spacing w:after="0"/>
              <w:rPr>
                <w:sz w:val="22"/>
                <w:szCs w:val="22"/>
                <w:color w:val="auto"/>
              </w:rPr>
            </w:pP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3820" w:type="dxa"/>
            <w:vAlign w:val="bottom"/>
            <w:tcBorders>
              <w:top w:val="single" w:sz="8" w:color="C0C0C0"/>
            </w:tcBorders>
          </w:tcPr>
          <w:p>
            <w:pPr>
              <w:spacing w:after="0"/>
              <w:rPr>
                <w:sz w:val="24"/>
                <w:szCs w:val="24"/>
                <w:color w:val="auto"/>
              </w:rPr>
            </w:pPr>
          </w:p>
        </w:tc>
        <w:tc>
          <w:tcPr>
            <w:tcW w:w="3760" w:type="dxa"/>
            <w:vAlign w:val="bottom"/>
            <w:tcBorders>
              <w:top w:val="single" w:sz="8" w:color="C0C0C0"/>
            </w:tcBorders>
          </w:tcPr>
          <w:p>
            <w:pPr>
              <w:jc w:val="right"/>
              <w:ind w:right="1692"/>
              <w:spacing w:after="0"/>
              <w:rPr>
                <w:sz w:val="20"/>
                <w:szCs w:val="20"/>
                <w:color w:val="auto"/>
              </w:rPr>
            </w:pPr>
            <w:r>
              <w:rPr>
                <w:rFonts w:ascii="Arial" w:cs="Arial" w:eastAsia="Arial" w:hAnsi="Arial"/>
                <w:sz w:val="18"/>
                <w:szCs w:val="18"/>
                <w:color w:val="auto"/>
              </w:rPr>
              <w:t>52</w:t>
            </w: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82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Prior Restructurings</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In May 2006, the Company closed its Austin, Texas, manufacturing and research and development facility, and in March 2003 closed its Phoenix, Arizona, manufacturing facility. The following tables set forth the Company's restructuring reserves as of October 31, 2010, November 1, 2009 and November 2, 2008, and reflect the activity affecting the reserves for the years then ended.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14"/>
          </w:tcPr>
          <w:p>
            <w:pPr>
              <w:ind w:left="120"/>
              <w:spacing w:after="0"/>
              <w:rPr>
                <w:sz w:val="20"/>
                <w:szCs w:val="20"/>
                <w:color w:val="auto"/>
              </w:rPr>
            </w:pPr>
            <w:r>
              <w:rPr>
                <w:rFonts w:ascii="Arial" w:cs="Arial" w:eastAsia="Arial" w:hAnsi="Arial"/>
                <w:sz w:val="18"/>
                <w:szCs w:val="18"/>
                <w:b w:val="1"/>
                <w:bCs w:val="1"/>
                <w:color w:val="auto"/>
                <w:w w:val="89"/>
              </w:rPr>
              <w:t>Year Ended October 31, 2010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8"/>
                <w:szCs w:val="18"/>
                <w:b w:val="1"/>
                <w:bCs w:val="1"/>
                <w:color w:val="auto"/>
                <w:w w:val="86"/>
              </w:rPr>
              <w:t>November 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color w:val="auto"/>
                <w:w w:val="84"/>
              </w:rPr>
              <w:t>October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ind w:left="160"/>
              <w:spacing w:after="0"/>
              <w:rPr>
                <w:sz w:val="20"/>
                <w:szCs w:val="20"/>
                <w:color w:val="auto"/>
              </w:rPr>
            </w:pPr>
            <w:r>
              <w:rPr>
                <w:rFonts w:ascii="Arial" w:cs="Arial" w:eastAsia="Arial" w:hAnsi="Arial"/>
                <w:sz w:val="18"/>
                <w:szCs w:val="18"/>
                <w:b w:val="1"/>
                <w:bCs w:val="1"/>
                <w:color w:val="auto"/>
                <w:w w:val="94"/>
              </w:rPr>
              <w:t>2009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3"/>
              </w:rPr>
              <w:t>Charges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Utilized</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
        </w:trPr>
        <w:tc>
          <w:tcPr>
            <w:tcW w:w="520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Manufacturing capacity reduction and other</w:t>
            </w:r>
          </w:p>
        </w:tc>
        <w:tc>
          <w:tcPr>
            <w:tcW w:w="21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0" w:type="dxa"/>
            <w:vAlign w:val="bottom"/>
            <w:vMerge w:val="continue"/>
            <w:shd w:val="clear" w:color="auto" w:fill="C0C0C0"/>
          </w:tcPr>
          <w:p>
            <w:pPr>
              <w:spacing w:after="0"/>
              <w:rPr>
                <w:sz w:val="20"/>
                <w:szCs w:val="20"/>
                <w:color w:val="auto"/>
              </w:rPr>
            </w:pPr>
          </w:p>
        </w:tc>
        <w:tc>
          <w:tcPr>
            <w:tcW w:w="2380" w:type="dxa"/>
            <w:vAlign w:val="bottom"/>
            <w:gridSpan w:val="3"/>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w w:val="79"/>
              </w:rPr>
              <w:t>280</w:t>
            </w:r>
          </w:p>
        </w:tc>
        <w:tc>
          <w:tcPr>
            <w:tcW w:w="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0C0C0"/>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3"/>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w w:val="79"/>
              </w:rPr>
              <w:t>280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360" w:type="dxa"/>
            <w:vAlign w:val="bottom"/>
            <w:gridSpan w:val="2"/>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ind w:left="520"/>
              <w:spacing w:after="0"/>
              <w:rPr>
                <w:sz w:val="20"/>
                <w:szCs w:val="20"/>
                <w:color w:val="auto"/>
              </w:rPr>
            </w:pPr>
            <w:r>
              <w:rPr>
                <w:rFonts w:ascii="Arial" w:cs="Arial" w:eastAsia="Arial" w:hAnsi="Arial"/>
                <w:sz w:val="18"/>
                <w:szCs w:val="18"/>
                <w:b w:val="1"/>
                <w:bCs w:val="1"/>
                <w:color w:val="auto"/>
                <w:w w:val="92"/>
              </w:rPr>
              <w:t>Year Ended November 1, 2009</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20" w:type="dxa"/>
            <w:vAlign w:val="bottom"/>
            <w:gridSpan w:val="6"/>
          </w:tcPr>
          <w:p>
            <w:pPr>
              <w:spacing w:after="0"/>
              <w:rPr>
                <w:sz w:val="20"/>
                <w:szCs w:val="20"/>
                <w:color w:val="auto"/>
              </w:rPr>
            </w:pPr>
            <w:r>
              <w:rPr>
                <w:rFonts w:ascii="Arial" w:cs="Arial" w:eastAsia="Arial" w:hAnsi="Arial"/>
                <w:sz w:val="18"/>
                <w:szCs w:val="18"/>
                <w:b w:val="1"/>
                <w:bCs w:val="1"/>
                <w:color w:val="auto"/>
              </w:rPr>
              <w:t>November 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w w:val="85"/>
              </w:rPr>
              <w:t>November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1"/>
                <w:szCs w:val="21"/>
                <w:color w:val="auto"/>
              </w:rPr>
            </w:pPr>
          </w:p>
        </w:tc>
        <w:tc>
          <w:tcPr>
            <w:tcW w:w="3080" w:type="dxa"/>
            <w:vAlign w:val="bottom"/>
            <w:gridSpan w:val="5"/>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260" w:type="dxa"/>
            <w:vAlign w:val="bottom"/>
            <w:gridSpan w:val="2"/>
          </w:tcPr>
          <w:p>
            <w:pPr>
              <w:spacing w:after="0"/>
              <w:rPr>
                <w:sz w:val="21"/>
                <w:szCs w:val="21"/>
                <w:color w:val="auto"/>
              </w:rPr>
            </w:pPr>
          </w:p>
        </w:tc>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Charges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Utilized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
        </w:trPr>
        <w:tc>
          <w:tcPr>
            <w:tcW w:w="520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Manufacturing capacity reduction and other</w:t>
            </w:r>
          </w:p>
        </w:tc>
        <w:tc>
          <w:tcPr>
            <w:tcW w:w="21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0" w:type="dxa"/>
            <w:vAlign w:val="bottom"/>
            <w:vMerge w:val="continue"/>
            <w:shd w:val="clear" w:color="auto" w:fill="C0C0C0"/>
          </w:tcPr>
          <w:p>
            <w:pPr>
              <w:spacing w:after="0"/>
              <w:rPr>
                <w:sz w:val="20"/>
                <w:szCs w:val="20"/>
                <w:color w:val="auto"/>
              </w:rPr>
            </w:pPr>
          </w:p>
        </w:tc>
        <w:tc>
          <w:tcPr>
            <w:tcW w:w="2120" w:type="dxa"/>
            <w:vAlign w:val="bottom"/>
            <w:shd w:val="clear" w:color="auto" w:fill="C0C0C0"/>
          </w:tcPr>
          <w:p>
            <w:pPr>
              <w:spacing w:after="0"/>
              <w:rPr>
                <w:sz w:val="20"/>
                <w:szCs w:val="20"/>
                <w:color w:val="auto"/>
              </w:rPr>
            </w:pPr>
          </w:p>
        </w:tc>
        <w:tc>
          <w:tcPr>
            <w:tcW w:w="2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ind w:left="160"/>
              <w:spacing w:after="0"/>
              <w:rPr>
                <w:sz w:val="20"/>
                <w:szCs w:val="20"/>
                <w:color w:val="auto"/>
              </w:rPr>
            </w:pPr>
            <w:r>
              <w:rPr>
                <w:rFonts w:ascii="Arial" w:cs="Arial" w:eastAsia="Arial" w:hAnsi="Arial"/>
                <w:sz w:val="18"/>
                <w:szCs w:val="18"/>
                <w:color w:val="auto"/>
                <w:w w:val="84"/>
              </w:rPr>
              <w:t>1,134</w:t>
            </w:r>
          </w:p>
        </w:tc>
        <w:tc>
          <w:tcPr>
            <w:tcW w:w="24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21"/>
                <w:szCs w:val="21"/>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1,134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620" w:type="dxa"/>
            <w:vAlign w:val="bottom"/>
            <w:gridSpan w:val="3"/>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760" w:type="dxa"/>
            <w:vAlign w:val="bottom"/>
            <w:gridSpan w:val="3"/>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w w:val="90"/>
              </w:rPr>
              <w:t>Year Ended November 2, 2008</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October 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w w:val="85"/>
              </w:rPr>
              <w:t>November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1"/>
                <w:szCs w:val="21"/>
                <w:color w:val="auto"/>
              </w:rPr>
            </w:pPr>
          </w:p>
        </w:tc>
        <w:tc>
          <w:tcPr>
            <w:tcW w:w="3080" w:type="dxa"/>
            <w:vAlign w:val="bottom"/>
            <w:gridSpan w:val="5"/>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260" w:type="dxa"/>
            <w:vAlign w:val="bottom"/>
            <w:gridSpan w:val="2"/>
          </w:tcPr>
          <w:p>
            <w:pPr>
              <w:spacing w:after="0"/>
              <w:rPr>
                <w:sz w:val="21"/>
                <w:szCs w:val="21"/>
                <w:color w:val="auto"/>
              </w:rPr>
            </w:pPr>
          </w:p>
        </w:tc>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Charges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Utilized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
        </w:trPr>
        <w:tc>
          <w:tcPr>
            <w:tcW w:w="520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Manufacturing capacity reduction and other</w:t>
            </w:r>
          </w:p>
        </w:tc>
        <w:tc>
          <w:tcPr>
            <w:tcW w:w="2200" w:type="dxa"/>
            <w:vAlign w:val="bottom"/>
            <w:gridSpan w:val="2"/>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0" w:type="dxa"/>
            <w:vAlign w:val="bottom"/>
            <w:vMerge w:val="continue"/>
            <w:shd w:val="clear" w:color="auto" w:fill="C0C0C0"/>
          </w:tcPr>
          <w:p>
            <w:pPr>
              <w:spacing w:after="0"/>
              <w:rPr>
                <w:sz w:val="20"/>
                <w:szCs w:val="20"/>
                <w:color w:val="auto"/>
              </w:rPr>
            </w:pPr>
          </w:p>
        </w:tc>
        <w:tc>
          <w:tcPr>
            <w:tcW w:w="2200" w:type="dxa"/>
            <w:vAlign w:val="bottom"/>
            <w:gridSpan w:val="2"/>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ind w:left="160"/>
              <w:spacing w:after="0"/>
              <w:rPr>
                <w:sz w:val="20"/>
                <w:szCs w:val="20"/>
                <w:color w:val="auto"/>
              </w:rPr>
            </w:pPr>
            <w:r>
              <w:rPr>
                <w:rFonts w:ascii="Arial" w:cs="Arial" w:eastAsia="Arial" w:hAnsi="Arial"/>
                <w:sz w:val="18"/>
                <w:szCs w:val="18"/>
                <w:color w:val="auto"/>
                <w:w w:val="84"/>
              </w:rPr>
              <w:t>1,687</w:t>
            </w:r>
          </w:p>
        </w:tc>
        <w:tc>
          <w:tcPr>
            <w:tcW w:w="24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1,687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IMPAIRMENTS OF GOODWILL AND LONG-LIVED ASSETS</w:t>
      </w:r>
    </w:p>
    <w:p>
      <w:pPr>
        <w:spacing w:after="0" w:line="231" w:lineRule="exact"/>
        <w:rPr>
          <w:sz w:val="20"/>
          <w:szCs w:val="20"/>
          <w:color w:val="auto"/>
        </w:rPr>
      </w:pPr>
    </w:p>
    <w:p>
      <w:pPr>
        <w:ind w:right="320" w:firstLine="220"/>
        <w:spacing w:after="0" w:line="259" w:lineRule="auto"/>
        <w:rPr>
          <w:sz w:val="20"/>
          <w:szCs w:val="20"/>
          <w:color w:val="auto"/>
        </w:rPr>
      </w:pPr>
      <w:r>
        <w:rPr>
          <w:rFonts w:ascii="Arial" w:cs="Arial" w:eastAsia="Arial" w:hAnsi="Arial"/>
          <w:sz w:val="18"/>
          <w:szCs w:val="18"/>
          <w:color w:val="auto"/>
        </w:rPr>
        <w:t>The Company, as of July 27, 2008, performed an interim impairment test of its goodwill and certain of its long-lived assets (principally machinery and equipment, and buildings and improvements) due to events and changes in circumstances through the third quarter of fiscal 2008 that indicated an impairment might have occurred.</w:t>
      </w:r>
    </w:p>
    <w:p>
      <w:pPr>
        <w:spacing w:after="0" w:line="221"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Factors deemed by management to have collectively constituted an impairment triggering event included net losses in each of the first three quarters of fiscal 2008, and a significant decrease in the Company's market capitalization through the third quarter of fiscal 2008 which was significantly below its consolidated net assets. As a result of this impairment test, the Company recorded the following impairment charges during the third quarter of fiscal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Impairment of goodwill</w:t>
            </w:r>
          </w:p>
        </w:tc>
        <w:tc>
          <w:tcPr>
            <w:tcW w:w="5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$138,534</w:t>
            </w:r>
          </w:p>
        </w:tc>
        <w:tc>
          <w:tcPr>
            <w:tcW w:w="2300" w:type="dxa"/>
            <w:vAlign w:val="bottom"/>
          </w:tcPr>
          <w:p>
            <w:pPr>
              <w:spacing w:after="0"/>
              <w:rPr>
                <w:sz w:val="21"/>
                <w:szCs w:val="21"/>
                <w:color w:val="auto"/>
              </w:rPr>
            </w:pPr>
          </w:p>
        </w:tc>
      </w:tr>
      <w:tr>
        <w:trPr>
          <w:trHeight w:val="237"/>
        </w:trPr>
        <w:tc>
          <w:tcPr>
            <w:tcW w:w="3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Impairment of long-lived assets</w:t>
            </w:r>
          </w:p>
        </w:tc>
        <w:tc>
          <w:tcPr>
            <w:tcW w:w="452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66,874</w:t>
            </w:r>
          </w:p>
        </w:tc>
        <w:tc>
          <w:tcPr>
            <w:tcW w:w="2300" w:type="dxa"/>
            <w:vAlign w:val="bottom"/>
          </w:tcPr>
          <w:p>
            <w:pPr>
              <w:spacing w:after="0"/>
              <w:rPr>
                <w:sz w:val="20"/>
                <w:szCs w:val="20"/>
                <w:color w:val="auto"/>
              </w:rPr>
            </w:pPr>
          </w:p>
        </w:tc>
      </w:tr>
      <w:tr>
        <w:trPr>
          <w:trHeight w:val="262"/>
        </w:trPr>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Total impairments</w:t>
            </w:r>
          </w:p>
        </w:tc>
        <w:tc>
          <w:tcPr>
            <w:tcW w:w="5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$205,408</w:t>
            </w:r>
          </w:p>
        </w:tc>
        <w:tc>
          <w:tcPr>
            <w:tcW w:w="2300" w:type="dxa"/>
            <w:vAlign w:val="bottom"/>
          </w:tcPr>
          <w:p>
            <w:pPr>
              <w:spacing w:after="0"/>
              <w:rPr>
                <w:sz w:val="22"/>
                <w:szCs w:val="22"/>
                <w:color w:val="auto"/>
              </w:rPr>
            </w:pPr>
          </w:p>
        </w:tc>
      </w:tr>
      <w:tr>
        <w:trPr>
          <w:trHeight w:val="418"/>
        </w:trPr>
        <w:tc>
          <w:tcPr>
            <w:tcW w:w="3940" w:type="dxa"/>
            <w:vAlign w:val="bottom"/>
            <w:tcBorders>
              <w:top w:val="single" w:sz="8" w:color="C0C0C0"/>
            </w:tcBorders>
          </w:tcPr>
          <w:p>
            <w:pPr>
              <w:spacing w:after="0"/>
              <w:rPr>
                <w:sz w:val="24"/>
                <w:szCs w:val="24"/>
                <w:color w:val="auto"/>
              </w:rPr>
            </w:pPr>
          </w:p>
        </w:tc>
        <w:tc>
          <w:tcPr>
            <w:tcW w:w="4520" w:type="dxa"/>
            <w:vAlign w:val="bottom"/>
            <w:tcBorders>
              <w:top w:val="single" w:sz="8" w:color="C0C0C0"/>
            </w:tcBorders>
          </w:tcPr>
          <w:p>
            <w:pPr>
              <w:jc w:val="right"/>
              <w:ind w:right="2572"/>
              <w:spacing w:after="0"/>
              <w:rPr>
                <w:sz w:val="20"/>
                <w:szCs w:val="20"/>
                <w:color w:val="auto"/>
              </w:rPr>
            </w:pPr>
            <w:r>
              <w:rPr>
                <w:rFonts w:ascii="Arial" w:cs="Arial" w:eastAsia="Arial" w:hAnsi="Arial"/>
                <w:sz w:val="18"/>
                <w:szCs w:val="18"/>
                <w:color w:val="auto"/>
              </w:rPr>
              <w:t>53</w:t>
            </w:r>
          </w:p>
        </w:tc>
        <w:tc>
          <w:tcPr>
            <w:tcW w:w="68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23"/>
        </w:trPr>
        <w:tc>
          <w:tcPr>
            <w:tcW w:w="394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80" w:firstLine="220"/>
        <w:spacing w:after="0" w:line="289" w:lineRule="auto"/>
        <w:rPr>
          <w:sz w:val="20"/>
          <w:szCs w:val="20"/>
          <w:color w:val="auto"/>
        </w:rPr>
      </w:pPr>
      <w:r>
        <w:rPr>
          <w:rFonts w:ascii="Arial" w:cs="Arial" w:eastAsia="Arial" w:hAnsi="Arial"/>
          <w:sz w:val="16"/>
          <w:szCs w:val="16"/>
          <w:color w:val="auto"/>
        </w:rPr>
        <w:t>The Company tested goodwill for impairment annually and when an event occurred or circumstances changed that would more likely than not have reduced the fair value of a reporting unit below its carrying value. Goodwill was tested for impairment using a two-step process. In the first step, the fair value of the reporting unit was compared to its carrying value. The Company, for purposes of testing its goodwill for impairment, was a single reporting unit. If the fair value of the reporting unit exceeded the carrying value of its net assets, goodwill was considered not impaired and no further testing was required. If the carrying value of its net assets exceeded the fair value of the reporting unit, a second step of the impairment test was performed in order to determine the implied fair value of a reporting unit's goodwill. Determining the implied fair value of goodwill required a valuation of the reporting unit's ta ngible and intangible assets and liabilities in a manner similar to the allocation of purchase price in a business combination. If the carrying value of the reporting unit's goodwill exceeded the implied fair value of its goodwill, goodwill was deemed impaired and was written down to the extent of the difference.</w:t>
      </w:r>
    </w:p>
    <w:p>
      <w:pPr>
        <w:spacing w:after="0" w:line="199"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Through the third quarter of fiscal 2008, the Company experienced a sustained, significant decline in its stock price. As a result of the decline in its stock price, the Company's market capitalization fell significantly below the recorded value of its consolidated net assets during the third quarter of fiscal 2008. Accordingly, in the third quarter of fiscal 2008, the Company performed an assessment of goodwill for impairment. Based on the results of the Company's initial assessment of impairment of its goodwill, it was determined that the consolidated carrying value of the Company's net assets exceeded its estimated fair value. Therefore, the Company performed a second step of the impairment test to determine the implied fair value of its goodwill. The result of the analysis indicated that there would be no remaining implied value attributable to the Comp any's goodwill and, accordingly, the Company wrote off all of its $138.5 million of goodwill as of July 27, 2008.</w:t>
      </w:r>
    </w:p>
    <w:p>
      <w:pPr>
        <w:spacing w:after="0" w:line="228" w:lineRule="exact"/>
        <w:rPr>
          <w:sz w:val="20"/>
          <w:szCs w:val="20"/>
          <w:color w:val="auto"/>
        </w:rPr>
      </w:pPr>
    </w:p>
    <w:p>
      <w:pPr>
        <w:ind w:right="220" w:firstLine="270"/>
        <w:spacing w:after="0" w:line="332" w:lineRule="auto"/>
        <w:rPr>
          <w:sz w:val="20"/>
          <w:szCs w:val="20"/>
          <w:color w:val="auto"/>
        </w:rPr>
      </w:pPr>
      <w:r>
        <w:rPr>
          <w:rFonts w:ascii="Arial" w:cs="Arial" w:eastAsia="Arial" w:hAnsi="Arial"/>
          <w:sz w:val="16"/>
          <w:szCs w:val="16"/>
          <w:color w:val="auto"/>
        </w:rPr>
        <w:t>In performing the goodwill assessment, the Company used its current market capitalization, discounted cash flows and other factors as the best evidence of fair value. There are inherent uncertainties in an analysis of goodwill for impairment and management judgment is required.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58"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The Company tests its long-lived assets for impairment whenever events or changes in circumstances indicate that the carrying amount of such assets may not be recoverable. If the carrying amount of an asset or group of assets exceeds its net realizable value, the asset will be written down to its fair value. In connection with the triggering events discussed above, during the third quarter of fiscal year 2008 the Company determined that long-lived assets were impaired for certain groups of its assets. The determination was based on a review of estimated undiscounted cash flows for these groups of assets, which were found to be less than their carrying values. The Company considers its asset groups to be the long-lived assets at each of its locations, primarily consisting of machinery and equipment, and buildings and improvements. As a result of the test, th e Company recorded an impairment charge of $66.9 million as of July 27, 2008, which represented the difference between the estimated fair values of certain asset groups located in Asia and Europe and their carrying values. In addition, an impairment charge of $1.5 million was incurred in 2009 related to the Manchester, U.K., facility. Fair values were determined based upon market conditions, the income approach (which utilized cash flow projections) and other factors.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20"/>
                <w:szCs w:val="20"/>
                <w:color w:val="auto"/>
              </w:rPr>
            </w:pPr>
            <w:r>
              <w:rPr>
                <w:rFonts w:ascii="Arial" w:cs="Arial" w:eastAsia="Arial" w:hAnsi="Arial"/>
                <w:sz w:val="18"/>
                <w:szCs w:val="18"/>
                <w:b w:val="1"/>
                <w:bCs w:val="1"/>
                <w:color w:val="auto"/>
              </w:rPr>
              <w:t>NOTE 14 - INCOME TAXES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2"/>
        </w:trPr>
        <w:tc>
          <w:tcPr>
            <w:tcW w:w="6820" w:type="dxa"/>
            <w:vAlign w:val="bottom"/>
          </w:tcPr>
          <w:p>
            <w:pPr>
              <w:ind w:left="220"/>
              <w:spacing w:after="0"/>
              <w:rPr>
                <w:sz w:val="20"/>
                <w:szCs w:val="20"/>
                <w:color w:val="auto"/>
              </w:rPr>
            </w:pPr>
            <w:r>
              <w:rPr>
                <w:rFonts w:ascii="Arial" w:cs="Arial" w:eastAsia="Arial" w:hAnsi="Arial"/>
                <w:sz w:val="18"/>
                <w:szCs w:val="18"/>
                <w:color w:val="auto"/>
              </w:rPr>
              <w:t>The income (loss) before income tax (provision) benefit consists of the following:</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5"/>
        </w:trPr>
        <w:tc>
          <w:tcPr>
            <w:tcW w:w="6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8"/>
        </w:trPr>
        <w:tc>
          <w:tcPr>
            <w:tcW w:w="6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October 31,</w:t>
            </w:r>
          </w:p>
        </w:tc>
        <w:tc>
          <w:tcPr>
            <w:tcW w:w="160" w:type="dxa"/>
            <w:vAlign w:val="bottom"/>
          </w:tcPr>
          <w:p>
            <w:pPr>
              <w:spacing w:after="0"/>
              <w:rPr>
                <w:sz w:val="19"/>
                <w:szCs w:val="19"/>
                <w:color w:val="auto"/>
              </w:rPr>
            </w:pPr>
          </w:p>
        </w:tc>
        <w:tc>
          <w:tcPr>
            <w:tcW w:w="1340" w:type="dxa"/>
            <w:vAlign w:val="bottom"/>
            <w:gridSpan w:val="5"/>
          </w:tcPr>
          <w:p>
            <w:pPr>
              <w:ind w:left="60"/>
              <w:spacing w:after="0"/>
              <w:rPr>
                <w:sz w:val="20"/>
                <w:szCs w:val="20"/>
                <w:color w:val="auto"/>
              </w:rPr>
            </w:pPr>
            <w:r>
              <w:rPr>
                <w:rFonts w:ascii="Arial" w:cs="Arial" w:eastAsia="Arial" w:hAnsi="Arial"/>
                <w:sz w:val="18"/>
                <w:szCs w:val="18"/>
                <w:b w:val="1"/>
                <w:bCs w:val="1"/>
                <w:color w:val="auto"/>
              </w:rPr>
              <w:t>November 1,</w:t>
            </w: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96"/>
              </w:rPr>
              <w:t>November 2,</w:t>
            </w:r>
          </w:p>
        </w:tc>
      </w:tr>
      <w:tr>
        <w:trPr>
          <w:trHeight w:val="251"/>
        </w:trPr>
        <w:tc>
          <w:tcPr>
            <w:tcW w:w="682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United States</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(27,507)</w:t>
            </w:r>
          </w:p>
        </w:tc>
        <w:tc>
          <w:tcPr>
            <w:tcW w:w="10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(35,228)</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(32,880)</w:t>
            </w:r>
          </w:p>
        </w:tc>
      </w:tr>
      <w:tr>
        <w:trPr>
          <w:trHeight w:val="237"/>
        </w:trPr>
        <w:tc>
          <w:tcPr>
            <w:tcW w:w="6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Foreign</w:t>
            </w:r>
          </w:p>
        </w:tc>
        <w:tc>
          <w:tcPr>
            <w:tcW w:w="8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60,060</w:t>
            </w:r>
          </w:p>
        </w:tc>
        <w:tc>
          <w:tcPr>
            <w:tcW w:w="1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(179,289)</w:t>
            </w:r>
          </w:p>
        </w:tc>
      </w:tr>
      <w:tr>
        <w:trPr>
          <w:trHeight w:val="257"/>
        </w:trPr>
        <w:tc>
          <w:tcPr>
            <w:tcW w:w="6820" w:type="dxa"/>
            <w:vAlign w:val="bottom"/>
            <w:shd w:val="clear" w:color="auto" w:fill="C0C0C0"/>
          </w:tcPr>
          <w:p>
            <w:pPr>
              <w:spacing w:after="0"/>
              <w:rPr>
                <w:sz w:val="22"/>
                <w:szCs w:val="22"/>
                <w:color w:val="auto"/>
              </w:rPr>
            </w:pP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32,553</w:t>
            </w:r>
          </w:p>
        </w:tc>
        <w:tc>
          <w:tcPr>
            <w:tcW w:w="100" w:type="dxa"/>
            <w:vAlign w:val="bottom"/>
            <w:shd w:val="clear" w:color="auto" w:fill="C0C0C0"/>
          </w:tcPr>
          <w:p>
            <w:pPr>
              <w:spacing w:after="0"/>
              <w:rPr>
                <w:sz w:val="22"/>
                <w:szCs w:val="22"/>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2"/>
                <w:szCs w:val="22"/>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(37,104)</w:t>
            </w:r>
          </w:p>
        </w:tc>
        <w:tc>
          <w:tcPr>
            <w:tcW w:w="1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0C0C0"/>
          </w:tcPr>
          <w:p>
            <w:pPr>
              <w:spacing w:after="0"/>
              <w:rPr>
                <w:sz w:val="22"/>
                <w:szCs w:val="22"/>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(212,169)</w:t>
            </w:r>
          </w:p>
        </w:tc>
      </w:tr>
      <w:tr>
        <w:trPr>
          <w:trHeight w:val="451"/>
        </w:trPr>
        <w:tc>
          <w:tcPr>
            <w:tcW w:w="6820" w:type="dxa"/>
            <w:vAlign w:val="bottom"/>
            <w:tcBorders>
              <w:top w:val="single" w:sz="8" w:color="C0C0C0"/>
            </w:tcBorders>
          </w:tcPr>
          <w:p>
            <w:pPr>
              <w:ind w:left="280"/>
              <w:spacing w:after="0"/>
              <w:rPr>
                <w:sz w:val="20"/>
                <w:szCs w:val="20"/>
                <w:color w:val="auto"/>
              </w:rPr>
            </w:pPr>
            <w:r>
              <w:rPr>
                <w:rFonts w:ascii="Arial" w:cs="Arial" w:eastAsia="Arial" w:hAnsi="Arial"/>
                <w:sz w:val="18"/>
                <w:szCs w:val="18"/>
                <w:color w:val="auto"/>
              </w:rPr>
              <w:t>The income tax provision (benefit) consists of the following:</w:t>
            </w:r>
          </w:p>
        </w:tc>
        <w:tc>
          <w:tcPr>
            <w:tcW w:w="82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455"/>
        </w:trPr>
        <w:tc>
          <w:tcPr>
            <w:tcW w:w="6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8"/>
        </w:trPr>
        <w:tc>
          <w:tcPr>
            <w:tcW w:w="6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2,</w:t>
            </w:r>
          </w:p>
        </w:tc>
      </w:tr>
      <w:tr>
        <w:trPr>
          <w:trHeight w:val="251"/>
        </w:trPr>
        <w:tc>
          <w:tcPr>
            <w:tcW w:w="682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820" w:type="dxa"/>
            <w:vAlign w:val="bottom"/>
          </w:tcPr>
          <w:p>
            <w:pPr>
              <w:ind w:left="320"/>
              <w:spacing w:after="0"/>
              <w:rPr>
                <w:sz w:val="20"/>
                <w:szCs w:val="20"/>
                <w:color w:val="auto"/>
              </w:rPr>
            </w:pPr>
            <w:r>
              <w:rPr>
                <w:rFonts w:ascii="Arial" w:cs="Arial" w:eastAsia="Arial" w:hAnsi="Arial"/>
                <w:sz w:val="18"/>
                <w:szCs w:val="18"/>
                <w:color w:val="auto"/>
              </w:rPr>
              <w:t>Federal</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68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28"/>
        </w:trPr>
        <w:tc>
          <w:tcPr>
            <w:tcW w:w="6820" w:type="dxa"/>
            <w:vAlign w:val="bottom"/>
          </w:tcPr>
          <w:p>
            <w:pPr>
              <w:ind w:left="320"/>
              <w:spacing w:after="0"/>
              <w:rPr>
                <w:sz w:val="20"/>
                <w:szCs w:val="20"/>
                <w:color w:val="auto"/>
              </w:rPr>
            </w:pPr>
            <w:r>
              <w:rPr>
                <w:rFonts w:ascii="Arial" w:cs="Arial" w:eastAsia="Arial" w:hAnsi="Arial"/>
                <w:sz w:val="18"/>
                <w:szCs w:val="18"/>
                <w:color w:val="auto"/>
              </w:rPr>
              <w:t>Foreign</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59"/>
        </w:trPr>
        <w:tc>
          <w:tcPr>
            <w:tcW w:w="6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Deferred:</w:t>
            </w: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6820" w:type="dxa"/>
            <w:vAlign w:val="bottom"/>
          </w:tcPr>
          <w:p>
            <w:pPr>
              <w:ind w:left="320"/>
              <w:spacing w:after="0"/>
              <w:rPr>
                <w:sz w:val="20"/>
                <w:szCs w:val="20"/>
                <w:color w:val="auto"/>
              </w:rPr>
            </w:pPr>
            <w:r>
              <w:rPr>
                <w:rFonts w:ascii="Arial" w:cs="Arial" w:eastAsia="Arial" w:hAnsi="Arial"/>
                <w:sz w:val="18"/>
                <w:szCs w:val="18"/>
                <w:color w:val="auto"/>
              </w:rPr>
              <w:t>Federal</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68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8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Foreign</w:t>
            </w:r>
          </w:p>
        </w:tc>
        <w:tc>
          <w:tcPr>
            <w:tcW w:w="8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(2,943)</w:t>
            </w: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r>
      <w:tr>
        <w:trPr>
          <w:trHeight w:val="242"/>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7,471</w:t>
            </w:r>
          </w:p>
        </w:tc>
        <w:tc>
          <w:tcPr>
            <w:tcW w:w="260" w:type="dxa"/>
            <w:vAlign w:val="bottom"/>
            <w:gridSpan w:val="2"/>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0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(2,778)</w:t>
            </w:r>
          </w:p>
        </w:tc>
      </w:tr>
      <w:tr>
        <w:trPr>
          <w:trHeight w:val="28"/>
        </w:trPr>
        <w:tc>
          <w:tcPr>
            <w:tcW w:w="6820" w:type="dxa"/>
            <w:vAlign w:val="bottom"/>
            <w:shd w:val="clear" w:color="auto" w:fill="C0C0C0"/>
          </w:tcPr>
          <w:p>
            <w:pPr>
              <w:spacing w:after="0"/>
              <w:rPr>
                <w:sz w:val="2"/>
                <w:szCs w:val="2"/>
                <w:color w:val="auto"/>
              </w:rPr>
            </w:pPr>
          </w:p>
        </w:tc>
        <w:tc>
          <w:tcPr>
            <w:tcW w:w="8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The income tax provision (benefit) differs from the amount computed by applying the statutory U.S. federal income tax rate to the income (loss)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8"/>
        </w:trPr>
        <w:tc>
          <w:tcPr>
            <w:tcW w:w="5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November 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2,</w:t>
            </w:r>
          </w:p>
        </w:tc>
      </w:tr>
      <w:tr>
        <w:trPr>
          <w:trHeight w:val="251"/>
        </w:trPr>
        <w:tc>
          <w:tcPr>
            <w:tcW w:w="5340" w:type="dxa"/>
            <w:vAlign w:val="bottom"/>
            <w:tcBorders>
              <w:bottom w:val="single" w:sz="8" w:color="C0C0C0"/>
            </w:tcBorders>
          </w:tcPr>
          <w:p>
            <w:pPr>
              <w:spacing w:after="0"/>
              <w:rPr>
                <w:sz w:val="21"/>
                <w:szCs w:val="21"/>
                <w:color w:val="auto"/>
              </w:rPr>
            </w:pPr>
          </w:p>
        </w:tc>
        <w:tc>
          <w:tcPr>
            <w:tcW w:w="23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r>
      <w:tr>
        <w:trPr>
          <w:trHeight w:val="243"/>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U.S. federal income tax at statutory rate</w:t>
            </w:r>
          </w:p>
        </w:tc>
        <w:tc>
          <w:tcPr>
            <w:tcW w:w="24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11,393</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(12,986)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(74,259)</w:t>
            </w:r>
          </w:p>
        </w:tc>
      </w:tr>
      <w:tr>
        <w:trPr>
          <w:trHeight w:val="235"/>
        </w:trPr>
        <w:tc>
          <w:tcPr>
            <w:tcW w:w="5340" w:type="dxa"/>
            <w:vAlign w:val="bottom"/>
          </w:tcPr>
          <w:p>
            <w:pPr>
              <w:spacing w:after="0"/>
              <w:rPr>
                <w:sz w:val="20"/>
                <w:szCs w:val="20"/>
                <w:color w:val="auto"/>
              </w:rPr>
            </w:pPr>
            <w:r>
              <w:rPr>
                <w:rFonts w:ascii="Arial" w:cs="Arial" w:eastAsia="Arial" w:hAnsi="Arial"/>
                <w:sz w:val="18"/>
                <w:szCs w:val="18"/>
                <w:color w:val="auto"/>
              </w:rPr>
              <w:t>Goodwill and other impairments</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42,416</w:t>
            </w:r>
          </w:p>
        </w:tc>
      </w:tr>
      <w:tr>
        <w:trPr>
          <w:trHeight w:val="251"/>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Distributions from foreign subsidiaries</w:t>
            </w:r>
          </w:p>
        </w:tc>
        <w:tc>
          <w:tcPr>
            <w:tcW w:w="2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7,782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10,203</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10,937</w:t>
            </w:r>
          </w:p>
        </w:tc>
      </w:tr>
      <w:tr>
        <w:trPr>
          <w:trHeight w:val="235"/>
        </w:trPr>
        <w:tc>
          <w:tcPr>
            <w:tcW w:w="53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51"/>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Changes in valuation allowances</w:t>
            </w:r>
          </w:p>
        </w:tc>
        <w:tc>
          <w:tcPr>
            <w:tcW w:w="2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2,651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6,585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8,757</w:t>
            </w:r>
          </w:p>
        </w:tc>
      </w:tr>
      <w:tr>
        <w:trPr>
          <w:trHeight w:val="235"/>
        </w:trPr>
        <w:tc>
          <w:tcPr>
            <w:tcW w:w="5340" w:type="dxa"/>
            <w:vAlign w:val="bottom"/>
          </w:tcPr>
          <w:p>
            <w:pPr>
              <w:spacing w:after="0"/>
              <w:rPr>
                <w:sz w:val="20"/>
                <w:szCs w:val="20"/>
                <w:color w:val="auto"/>
              </w:rPr>
            </w:pPr>
            <w:r>
              <w:rPr>
                <w:rFonts w:ascii="Arial" w:cs="Arial" w:eastAsia="Arial" w:hAnsi="Arial"/>
                <w:sz w:val="18"/>
                <w:szCs w:val="18"/>
                <w:color w:val="auto"/>
              </w:rPr>
              <w:t>Foreign tax rate differentials</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9,982</w:t>
            </w:r>
          </w:p>
        </w:tc>
      </w:tr>
      <w:tr>
        <w:trPr>
          <w:trHeight w:val="251"/>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Resolutions and settlements of tax matters</w:t>
            </w:r>
          </w:p>
        </w:tc>
        <w:tc>
          <w:tcPr>
            <w:tcW w:w="23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(1,218)</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(192)</w:t>
            </w:r>
          </w:p>
        </w:tc>
      </w:tr>
      <w:tr>
        <w:trPr>
          <w:trHeight w:val="235"/>
        </w:trPr>
        <w:tc>
          <w:tcPr>
            <w:tcW w:w="5340" w:type="dxa"/>
            <w:vAlign w:val="bottom"/>
          </w:tcPr>
          <w:p>
            <w:pPr>
              <w:spacing w:after="0"/>
              <w:rPr>
                <w:sz w:val="20"/>
                <w:szCs w:val="20"/>
                <w:color w:val="auto"/>
              </w:rPr>
            </w:pPr>
            <w:r>
              <w:rPr>
                <w:rFonts w:ascii="Arial" w:cs="Arial" w:eastAsia="Arial" w:hAnsi="Arial"/>
                <w:sz w:val="18"/>
                <w:szCs w:val="18"/>
                <w:color w:val="auto"/>
              </w:rPr>
              <w:t>Shanghai, China operations closure</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Other, net</w:t>
            </w:r>
          </w:p>
        </w:tc>
        <w:tc>
          <w:tcPr>
            <w:tcW w:w="23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836</w:t>
            </w:r>
          </w:p>
        </w:tc>
      </w:tr>
      <w:tr>
        <w:trPr>
          <w:trHeight w:val="250"/>
        </w:trPr>
        <w:tc>
          <w:tcPr>
            <w:tcW w:w="5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7,471</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4,323</w:t>
            </w:r>
          </w:p>
        </w:tc>
        <w:tc>
          <w:tcPr>
            <w:tcW w:w="280" w:type="dxa"/>
            <w:vAlign w:val="bottom"/>
          </w:tcPr>
          <w:p>
            <w:pPr>
              <w:spacing w:after="0"/>
              <w:rPr>
                <w:sz w:val="21"/>
                <w:szCs w:val="21"/>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r>
    </w:tbl>
    <w:p>
      <w:pPr>
        <w:spacing w:after="0" w:line="208" w:lineRule="exact"/>
        <w:rPr>
          <w:sz w:val="20"/>
          <w:szCs w:val="20"/>
          <w:color w:val="auto"/>
        </w:rPr>
      </w:pPr>
    </w:p>
    <w:p>
      <w:pPr>
        <w:ind w:right="200" w:firstLine="220"/>
        <w:spacing w:after="0" w:line="298" w:lineRule="auto"/>
        <w:rPr>
          <w:sz w:val="20"/>
          <w:szCs w:val="20"/>
          <w:color w:val="auto"/>
        </w:rPr>
      </w:pPr>
      <w:r>
        <w:rPr>
          <w:rFonts w:ascii="Arial" w:cs="Arial" w:eastAsia="Arial" w:hAnsi="Arial"/>
          <w:sz w:val="16"/>
          <w:szCs w:val="16"/>
          <w:color w:val="auto"/>
        </w:rPr>
        <w:t>The Company's operations in Shanghai, China were closed in the fiscal year ended October 31, 2010. The Company recognized a $10.5 million U.S. tax benefit as a result of the investment writedown. In China, additional income was recognized as a result of asset sales and intercompany loan settlements and the related China income tax liability was offset by accumulated net operating losses. As a result of the closure, the Company wrote off the Shanghai, China subsidiary deferred tax asset of $4.4 million related to unused operating losses in China, which were fully valued.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right="220" w:firstLine="220"/>
        <w:spacing w:after="0" w:line="306" w:lineRule="auto"/>
        <w:rPr>
          <w:sz w:val="20"/>
          <w:szCs w:val="20"/>
          <w:color w:val="auto"/>
        </w:rPr>
      </w:pPr>
      <w:r>
        <w:rPr>
          <w:rFonts w:ascii="Arial" w:cs="Arial" w:eastAsia="Arial" w:hAnsi="Arial"/>
          <w:sz w:val="16"/>
          <w:szCs w:val="16"/>
          <w:color w:val="auto"/>
        </w:rPr>
        <w:t>During the fiscal year ended November 1, 2009, the Company recorded a tax benefit in the amount of $1.2 million. The benefit recorded was related to the resolutions and settlements of U.S. and foreign tax matters that were associated with uncertain tax positions in prior years. Interest and penalties recognized as part of the income tax (provisions) benefit were $0.2 million, $0.7 million and $0.5 million during fiscal years 2010, 2009 and 2008,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00" w:type="dxa"/>
            <w:vAlign w:val="bottom"/>
          </w:tcPr>
          <w:p>
            <w:pPr>
              <w:ind w:left="260"/>
              <w:spacing w:after="0"/>
              <w:rPr>
                <w:sz w:val="20"/>
                <w:szCs w:val="20"/>
                <w:color w:val="auto"/>
              </w:rPr>
            </w:pPr>
            <w:r>
              <w:rPr>
                <w:rFonts w:ascii="Arial" w:cs="Arial" w:eastAsia="Arial" w:hAnsi="Arial"/>
                <w:sz w:val="18"/>
                <w:szCs w:val="18"/>
                <w:color w:val="auto"/>
              </w:rPr>
              <w:t>The net deferred income tax assets consist of the following:</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October 31,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November 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600" w:type="dxa"/>
            <w:vAlign w:val="bottom"/>
            <w:tcBorders>
              <w:bottom w:val="single" w:sz="8" w:color="C0C0C0"/>
            </w:tcBorders>
          </w:tcPr>
          <w:p>
            <w:pPr>
              <w:spacing w:after="0"/>
              <w:rPr>
                <w:sz w:val="21"/>
                <w:szCs w:val="21"/>
                <w:color w:val="auto"/>
              </w:rPr>
            </w:pPr>
          </w:p>
        </w:tc>
        <w:tc>
          <w:tcPr>
            <w:tcW w:w="11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Reserves not currently deductible</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6,005</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Net operating losses</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70,125</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65,123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Alternative minimum tax credits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Tax credit carryforwards</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5,223</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88,899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83,530</w:t>
            </w: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(58,145)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top w:val="single" w:sz="8" w:color="C0C0C0"/>
            </w:tcBorders>
            <w:shd w:val="clear" w:color="auto" w:fill="C0C0C0"/>
          </w:tcPr>
          <w:p>
            <w:pPr>
              <w:spacing w:after="0"/>
              <w:rPr>
                <w:sz w:val="21"/>
                <w:szCs w:val="21"/>
                <w:color w:val="auto"/>
              </w:rPr>
            </w:pPr>
          </w:p>
        </w:tc>
        <w:tc>
          <w:tcPr>
            <w:tcW w:w="11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30,754</w:t>
            </w:r>
          </w:p>
        </w:tc>
        <w:tc>
          <w:tcPr>
            <w:tcW w:w="28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Property, plant and equipment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Investments and other</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(19,948)</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deferred income tax assets</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10,806</w:t>
            </w:r>
          </w:p>
        </w:tc>
        <w:tc>
          <w:tcPr>
            <w:tcW w:w="280" w:type="dxa"/>
            <w:vAlign w:val="bottom"/>
          </w:tcPr>
          <w:p>
            <w:pPr>
              <w:spacing w:after="0"/>
              <w:rPr>
                <w:sz w:val="21"/>
                <w:szCs w:val="21"/>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Reported as:</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Current deferred tax assets</w:t>
            </w:r>
          </w:p>
        </w:tc>
        <w:tc>
          <w:tcPr>
            <w:tcW w:w="1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Long-term deferred tax assets</w:t>
            </w:r>
          </w:p>
        </w:tc>
        <w:tc>
          <w:tcPr>
            <w:tcW w:w="11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10,132</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Long-term deferred tax liabilities</w:t>
            </w:r>
          </w:p>
        </w:tc>
        <w:tc>
          <w:tcPr>
            <w:tcW w:w="11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0C0C0"/>
            </w:tcBorders>
            <w:shd w:val="clear" w:color="auto" w:fill="C0C0C0"/>
          </w:tcPr>
          <w:p>
            <w:pPr>
              <w:spacing w:after="0"/>
              <w:rPr>
                <w:sz w:val="21"/>
                <w:szCs w:val="21"/>
                <w:color w:val="auto"/>
              </w:rPr>
            </w:pPr>
          </w:p>
        </w:tc>
        <w:tc>
          <w:tcPr>
            <w:tcW w:w="11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10,806</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On July 13, 2006, the FASB issued FASB Interpretation Number 48, "Accounting for Uncertainty in Income Taxes - an Interpretation of FASB Statement No. 109" (primarily codified under ASC 740). This guidance includes a two-step approach to recognizing and measuring uncertain tax positions accounted for under ASC 740. The Company adopted this guidance as of the beginning of its 2008 fiscal year. The total amount of the liability accrued for unrecognized tax benefits as of the adoption date was approximately $3.9 million, which included interest and penalties. As compared to the Company's historical approach, the application of this guidance resulted in a net increase to accrued income taxes payable of approximately $1.0 million (including interest and penalties of approximately $0.2 million), and a decrease to retained earnings of the same amount. As of the date of adoption of this guidance, the Company elected to inc lude any applicable interest and penalties related to uncertain tax positions in its income tax provision. Unrecognized tax benefits associated with uncertain tax positions of $2.0 million were included in other liabilities in the consolidated balance sheets at October 31, 2010 and November 1, 2009. Included in these amounts were $0.3 million and $0.4 million for interest and penalties in the two years, respectively. If recognized, the benefits would favorably affect the Company's effective tax rate in future periods. As of October 31, 2010, the Company believes it is not reasonably possible that the total amounts of unrecognized tax benefits will significantly increase or decrease in the next twelve months. Currently, the statutes of limitations remain open subsequent to, and including, 2006 in the U.S., 2008 in the U.K., 2008 in Germany, 2005 in Korea and 2006 in Taiwan.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58" w:name="page59"/>
    <w:bookmarkEnd w:id="58"/>
    <w:p>
      <w:pPr>
        <w:ind w:left="22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8"/>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October 31,</w:t>
            </w:r>
          </w:p>
        </w:tc>
        <w:tc>
          <w:tcPr>
            <w:tcW w:w="260" w:type="dxa"/>
            <w:vAlign w:val="bottom"/>
          </w:tcPr>
          <w:p>
            <w:pPr>
              <w:spacing w:after="0"/>
              <w:rPr>
                <w:sz w:val="19"/>
                <w:szCs w:val="19"/>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November 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November 2,</w:t>
            </w:r>
          </w:p>
        </w:tc>
      </w:tr>
      <w:tr>
        <w:trPr>
          <w:trHeight w:val="251"/>
        </w:trPr>
        <w:tc>
          <w:tcPr>
            <w:tcW w:w="772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4"/>
              </w:rPr>
              <w:t>2009</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r>
      <w:tr>
        <w:trPr>
          <w:trHeight w:val="243"/>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Balance at beginning of year</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1,573</w:t>
            </w:r>
          </w:p>
        </w:tc>
        <w:tc>
          <w:tcPr>
            <w:tcW w:w="4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1,988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2,280</w:t>
            </w:r>
          </w:p>
        </w:tc>
      </w:tr>
      <w:tr>
        <w:trPr>
          <w:trHeight w:val="235"/>
        </w:trPr>
        <w:tc>
          <w:tcPr>
            <w:tcW w:w="7720" w:type="dxa"/>
            <w:vAlign w:val="bottom"/>
          </w:tcPr>
          <w:p>
            <w:pPr>
              <w:spacing w:after="0"/>
              <w:rPr>
                <w:sz w:val="20"/>
                <w:szCs w:val="20"/>
                <w:color w:val="auto"/>
              </w:rPr>
            </w:pPr>
            <w:r>
              <w:rPr>
                <w:rFonts w:ascii="Arial" w:cs="Arial" w:eastAsia="Arial" w:hAnsi="Arial"/>
                <w:sz w:val="18"/>
                <w:szCs w:val="18"/>
                <w:color w:val="auto"/>
              </w:rPr>
              <w:t>Reductions for tax positions in prior years</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5"/>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Additions based on current year tax</w:t>
            </w:r>
          </w:p>
        </w:tc>
        <w:tc>
          <w:tcPr>
            <w:tcW w:w="8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r>
      <w:tr>
        <w:trPr>
          <w:trHeight w:val="259"/>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positions</w:t>
            </w:r>
          </w:p>
        </w:tc>
        <w:tc>
          <w:tcPr>
            <w:tcW w:w="80" w:type="dxa"/>
            <w:vAlign w:val="bottom"/>
            <w:shd w:val="clear" w:color="auto" w:fill="C0C0C0"/>
          </w:tcPr>
          <w:p>
            <w:pPr>
              <w:spacing w:after="0"/>
              <w:rPr>
                <w:sz w:val="22"/>
                <w:szCs w:val="22"/>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294</w:t>
            </w:r>
          </w:p>
        </w:tc>
      </w:tr>
      <w:tr>
        <w:trPr>
          <w:trHeight w:val="235"/>
        </w:trPr>
        <w:tc>
          <w:tcPr>
            <w:tcW w:w="7720" w:type="dxa"/>
            <w:vAlign w:val="bottom"/>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44"/>
        </w:trPr>
        <w:tc>
          <w:tcPr>
            <w:tcW w:w="7720" w:type="dxa"/>
            <w:vAlign w:val="bottom"/>
            <w:shd w:val="clear" w:color="auto" w:fill="C0C0C0"/>
          </w:tcPr>
          <w:p>
            <w:pPr>
              <w:spacing w:after="0"/>
              <w:rPr>
                <w:sz w:val="20"/>
                <w:szCs w:val="20"/>
                <w:color w:val="auto"/>
              </w:rPr>
            </w:pPr>
            <w:r>
              <w:rPr>
                <w:rFonts w:ascii="Arial" w:cs="Arial" w:eastAsia="Arial" w:hAnsi="Arial"/>
                <w:sz w:val="18"/>
                <w:szCs w:val="18"/>
                <w:color w:val="auto"/>
              </w:rPr>
              <w:t>Lapses of statutes of limitations</w:t>
            </w:r>
          </w:p>
        </w:tc>
        <w:tc>
          <w:tcPr>
            <w:tcW w:w="8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77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1,573</w:t>
            </w:r>
          </w:p>
        </w:tc>
        <w:tc>
          <w:tcPr>
            <w:tcW w:w="26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1,988</w:t>
            </w:r>
          </w:p>
        </w:tc>
      </w:tr>
    </w:tbl>
    <w:p>
      <w:pPr>
        <w:spacing w:after="0" w:line="2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October 31, 2010, the Company had available U.S. Federal tax operating loss and tax credit carryforwards subject to expiration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 of</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w:t>
            </w:r>
          </w:p>
        </w:tc>
        <w:tc>
          <w:tcPr>
            <w:tcW w:w="120" w:type="dxa"/>
            <w:vAlign w:val="bottom"/>
          </w:tcPr>
          <w:p>
            <w:pPr>
              <w:spacing w:after="0"/>
              <w:rPr>
                <w:sz w:val="19"/>
                <w:szCs w:val="19"/>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b w:val="1"/>
                <w:bCs w:val="1"/>
                <w:color w:val="auto"/>
                <w:w w:val="96"/>
              </w:rPr>
              <w:t>Tax</w:t>
            </w:r>
          </w:p>
        </w:tc>
      </w:tr>
      <w:tr>
        <w:trPr>
          <w:trHeight w:val="252"/>
        </w:trPr>
        <w:tc>
          <w:tcPr>
            <w:tcW w:w="7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3"/>
              </w:rPr>
              <w:t>Losses</w:t>
            </w:r>
          </w:p>
        </w:tc>
        <w:tc>
          <w:tcPr>
            <w:tcW w:w="280" w:type="dxa"/>
            <w:vAlign w:val="bottom"/>
            <w:tcBorders>
              <w:bottom w:val="single" w:sz="8" w:color="C0C0C0"/>
            </w:tcBorders>
          </w:tcPr>
          <w:p>
            <w:pPr>
              <w:spacing w:after="0"/>
              <w:rPr>
                <w:sz w:val="21"/>
                <w:szCs w:val="21"/>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Credits</w:t>
            </w:r>
          </w:p>
        </w:tc>
      </w:tr>
      <w:tr>
        <w:trPr>
          <w:trHeight w:val="243"/>
        </w:trPr>
        <w:tc>
          <w:tcPr>
            <w:tcW w:w="7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2018</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1,272</w:t>
            </w:r>
          </w:p>
        </w:tc>
      </w:tr>
      <w:tr>
        <w:trPr>
          <w:trHeight w:val="235"/>
        </w:trPr>
        <w:tc>
          <w:tcPr>
            <w:tcW w:w="716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7,797</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7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2023</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36,242</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7160" w:type="dxa"/>
            <w:vAlign w:val="bottom"/>
          </w:tcPr>
          <w:p>
            <w:pPr>
              <w:jc w:val="center"/>
              <w:spacing w:after="0"/>
              <w:rPr>
                <w:sz w:val="20"/>
                <w:szCs w:val="20"/>
                <w:color w:val="auto"/>
              </w:rPr>
            </w:pPr>
            <w:r>
              <w:rPr>
                <w:rFonts w:ascii="Arial" w:cs="Arial" w:eastAsia="Arial" w:hAnsi="Arial"/>
                <w:sz w:val="18"/>
                <w:szCs w:val="18"/>
                <w:color w:val="auto"/>
                <w:w w:val="84"/>
              </w:rPr>
              <w:t>2024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22,325</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51"/>
        </w:trPr>
        <w:tc>
          <w:tcPr>
            <w:tcW w:w="7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2025</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12,130</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510</w:t>
            </w:r>
          </w:p>
        </w:tc>
      </w:tr>
      <w:tr>
        <w:trPr>
          <w:trHeight w:val="235"/>
        </w:trPr>
        <w:tc>
          <w:tcPr>
            <w:tcW w:w="7160" w:type="dxa"/>
            <w:vAlign w:val="bottom"/>
          </w:tcPr>
          <w:p>
            <w:pPr>
              <w:jc w:val="center"/>
              <w:spacing w:after="0"/>
              <w:rPr>
                <w:sz w:val="20"/>
                <w:szCs w:val="20"/>
                <w:color w:val="auto"/>
              </w:rPr>
            </w:pPr>
            <w:r>
              <w:rPr>
                <w:rFonts w:ascii="Arial" w:cs="Arial" w:eastAsia="Arial" w:hAnsi="Arial"/>
                <w:sz w:val="18"/>
                <w:szCs w:val="18"/>
                <w:color w:val="auto"/>
                <w:w w:val="84"/>
              </w:rPr>
              <w:t>2026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51"/>
        </w:trPr>
        <w:tc>
          <w:tcPr>
            <w:tcW w:w="7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2027</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w:t>
            </w:r>
          </w:p>
        </w:tc>
      </w:tr>
      <w:tr>
        <w:trPr>
          <w:trHeight w:val="235"/>
        </w:trPr>
        <w:tc>
          <w:tcPr>
            <w:tcW w:w="7160" w:type="dxa"/>
            <w:vAlign w:val="bottom"/>
          </w:tcPr>
          <w:p>
            <w:pPr>
              <w:jc w:val="center"/>
              <w:spacing w:after="0"/>
              <w:rPr>
                <w:sz w:val="20"/>
                <w:szCs w:val="20"/>
                <w:color w:val="auto"/>
              </w:rPr>
            </w:pPr>
            <w:r>
              <w:rPr>
                <w:rFonts w:ascii="Arial" w:cs="Arial" w:eastAsia="Arial" w:hAnsi="Arial"/>
                <w:sz w:val="18"/>
                <w:szCs w:val="18"/>
                <w:color w:val="auto"/>
                <w:w w:val="84"/>
              </w:rPr>
              <w:t>2028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7,529</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1"/>
        </w:trPr>
        <w:tc>
          <w:tcPr>
            <w:tcW w:w="7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2029</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12,673</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7160" w:type="dxa"/>
            <w:vAlign w:val="bottom"/>
            <w:tcBorders>
              <w:bottom w:val="single" w:sz="8" w:color="C0C0C0"/>
            </w:tcBorders>
          </w:tcPr>
          <w:p>
            <w:pPr>
              <w:jc w:val="center"/>
              <w:spacing w:after="0"/>
              <w:rPr>
                <w:sz w:val="20"/>
                <w:szCs w:val="20"/>
                <w:color w:val="auto"/>
              </w:rPr>
            </w:pPr>
            <w:r>
              <w:rPr>
                <w:rFonts w:ascii="Arial" w:cs="Arial" w:eastAsia="Arial" w:hAnsi="Arial"/>
                <w:sz w:val="18"/>
                <w:szCs w:val="18"/>
                <w:color w:val="auto"/>
                <w:w w:val="84"/>
              </w:rPr>
              <w:t>2030</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42,173</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6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147,263</w:t>
            </w:r>
          </w:p>
        </w:tc>
        <w:tc>
          <w:tcPr>
            <w:tcW w:w="28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2,827</w:t>
            </w:r>
          </w:p>
        </w:tc>
      </w:tr>
    </w:tbl>
    <w:p>
      <w:pPr>
        <w:spacing w:after="0" w:line="235"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may expire prior to utilization. The valuation allowance increased by $3.4 million, $6.6 million and $8.8 million in fiscal years 2010, 2009 and 2008, respectively.</w:t>
      </w:r>
    </w:p>
    <w:p>
      <w:pPr>
        <w:spacing w:after="0" w:line="221"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As of October 31, 2010, the Company had $2.9 million of alternative minimum tax credit carryforwards that are available to offset future federal income taxes payable. The Company also has state tax credits available of $2.0 million which, if they are not utilized, will begin to expire in 2011.</w:t>
      </w:r>
    </w:p>
    <w:p>
      <w:pPr>
        <w:spacing w:after="0" w:line="166"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color w:val="auto"/>
        </w:rPr>
        <w:t>As of October 31, 2010, the undistributed earnings of foreign subsidiaries included in consolidated retained earnings amounted to $52.1 million, of which $12.6 million of earnings is considered not to be permanently reinvested. During fiscal year 2008 a decision was made to not indefinitely reinvest earnings in certain foreign jurisdictions. No provision has been made for taxes due on the remaining undistributed earnings of $39.5 million considered to be permanently invested. Should the Company elect in the future to repatriate the foreign earnings so invested, it may incur additional income tax expense on those foreign earnings, the amount of which is not practicable to compute.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9" w:name="page60"/>
    <w:bookmarkEnd w:id="59"/>
    <w:p>
      <w:pPr>
        <w:ind w:right="120" w:firstLine="220"/>
        <w:spacing w:after="0" w:line="256" w:lineRule="auto"/>
        <w:rPr>
          <w:sz w:val="20"/>
          <w:szCs w:val="20"/>
          <w:color w:val="auto"/>
        </w:rPr>
      </w:pPr>
      <w:r>
        <w:rPr>
          <w:rFonts w:ascii="Arial" w:cs="Arial" w:eastAsia="Arial" w:hAnsi="Arial"/>
          <w:sz w:val="18"/>
          <w:szCs w:val="18"/>
          <w:color w:val="auto"/>
        </w:rPr>
        <w:t>PKLT, the Company's FPD manufacturing facility in Taiwan, has been accorded a tax holiday, which starts in 2012 and expires in 2017. In addition, the Company has been accorded a tax holiday in China which expires in 2011. These tax holidays had no dollar or per share effect in the fiscal years ended October 31, 2010, November 1, 2009 and November 2, 2008. In Korea and at PSMC in Taiwan, various investment tax credits have been earned to reduce the Company's effective income tax rate.</w:t>
      </w:r>
    </w:p>
    <w:p>
      <w:pPr>
        <w:spacing w:after="0" w:line="224"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Income tax payments were $8.9 million, $9.6 million and $4.4 million in fiscal 2010, 2009 and 2008, respectively. Cash received for refunds of income taxes paid in prior years amounted to $0.1 million, $0.1 million and $1.3 million in fiscal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(LOSS) PER SHARE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calculation of basic and diluted earnings (loss) per share is presented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c>
          <w:tcPr>
            <w:tcW w:w="140" w:type="dxa"/>
            <w:vAlign w:val="bottom"/>
          </w:tcPr>
          <w:p>
            <w:pPr>
              <w:spacing w:after="0"/>
              <w:rPr>
                <w:sz w:val="19"/>
                <w:szCs w:val="19"/>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November 1,</w:t>
            </w: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620" w:type="dxa"/>
            <w:vAlign w:val="bottom"/>
            <w:tcBorders>
              <w:bottom w:val="single" w:sz="8" w:color="C0C0C0"/>
            </w:tcBorders>
          </w:tcPr>
          <w:p>
            <w:pPr>
              <w:spacing w:after="0"/>
              <w:rPr>
                <w:sz w:val="21"/>
                <w:szCs w:val="21"/>
                <w:color w:val="auto"/>
              </w:rPr>
            </w:pPr>
          </w:p>
        </w:tc>
        <w:tc>
          <w:tcPr>
            <w:tcW w:w="32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3420" w:type="dxa"/>
            <w:vAlign w:val="bottom"/>
            <w:gridSpan w:val="2"/>
            <w:shd w:val="clear" w:color="auto" w:fill="C0C0C0"/>
          </w:tcPr>
          <w:p>
            <w:pPr>
              <w:ind w:left="3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23,922</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(41,910)</w:t>
            </w:r>
          </w:p>
        </w:tc>
        <w:tc>
          <w:tcPr>
            <w:tcW w:w="140" w:type="dxa"/>
            <w:vAlign w:val="bottom"/>
            <w:shd w:val="clear" w:color="auto" w:fill="C0C0C0"/>
          </w:tcPr>
          <w:p>
            <w:pPr>
              <w:spacing w:after="0"/>
              <w:rPr>
                <w:sz w:val="21"/>
                <w:szCs w:val="21"/>
                <w:color w:val="auto"/>
              </w:rPr>
            </w:pPr>
          </w:p>
        </w:tc>
        <w:tc>
          <w:tcPr>
            <w:tcW w:w="3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 on convertible notes,</w:t>
            </w:r>
          </w:p>
        </w:tc>
        <w:tc>
          <w:tcPr>
            <w:tcW w:w="32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6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of related tax effects</w:t>
            </w:r>
          </w:p>
        </w:tc>
        <w:tc>
          <w:tcPr>
            <w:tcW w:w="324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4,085</w:t>
            </w: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Earnings (loss) for diluted earnings (loss) per share</w:t>
            </w:r>
          </w:p>
        </w:tc>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tcPr>
          <w:p>
            <w:pPr>
              <w:spacing w:after="0"/>
              <w:rPr>
                <w:sz w:val="21"/>
                <w:szCs w:val="21"/>
                <w:color w:val="auto"/>
              </w:rPr>
            </w:pPr>
          </w:p>
        </w:tc>
        <w:tc>
          <w:tcPr>
            <w:tcW w:w="32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28,007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(41,910)</w:t>
            </w:r>
          </w:p>
        </w:tc>
        <w:tc>
          <w:tcPr>
            <w:tcW w:w="140" w:type="dxa"/>
            <w:vAlign w:val="bottom"/>
          </w:tcPr>
          <w:p>
            <w:pPr>
              <w:spacing w:after="0"/>
              <w:rPr>
                <w:sz w:val="21"/>
                <w:szCs w:val="21"/>
                <w:color w:val="auto"/>
              </w:rPr>
            </w:pP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Weighted-average common shares computations:</w:t>
            </w:r>
          </w:p>
        </w:tc>
        <w:tc>
          <w:tcPr>
            <w:tcW w:w="3240" w:type="dxa"/>
            <w:vAlign w:val="bottom"/>
            <w:tcBorders>
              <w:top w:val="single" w:sz="8" w:color="C0C0C0"/>
            </w:tcBorders>
            <w:shd w:val="clear" w:color="auto" w:fill="C0C0C0"/>
          </w:tcPr>
          <w:p>
            <w:pPr>
              <w:spacing w:after="0"/>
              <w:rPr>
                <w:sz w:val="20"/>
                <w:szCs w:val="20"/>
                <w:color w:val="auto"/>
              </w:rPr>
            </w:pPr>
          </w:p>
        </w:tc>
        <w:tc>
          <w:tcPr>
            <w:tcW w:w="180" w:type="dxa"/>
            <w:vAlign w:val="bottom"/>
            <w:tcBorders>
              <w:top w:val="single" w:sz="8" w:color="auto"/>
            </w:tcBorders>
            <w:shd w:val="clear" w:color="auto" w:fill="C0C0C0"/>
          </w:tcPr>
          <w:p>
            <w:pPr>
              <w:spacing w:after="0"/>
              <w:rPr>
                <w:sz w:val="20"/>
                <w:szCs w:val="20"/>
                <w:color w:val="auto"/>
              </w:rPr>
            </w:pPr>
          </w:p>
        </w:tc>
        <w:tc>
          <w:tcPr>
            <w:tcW w:w="700" w:type="dxa"/>
            <w:vAlign w:val="bottom"/>
            <w:tcBorders>
              <w:top w:val="single" w:sz="8" w:color="auto"/>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spacing w:after="0"/>
              <w:rPr>
                <w:sz w:val="20"/>
                <w:szCs w:val="20"/>
                <w:color w:val="auto"/>
              </w:rPr>
            </w:pPr>
          </w:p>
        </w:tc>
        <w:tc>
          <w:tcPr>
            <w:tcW w:w="920" w:type="dxa"/>
            <w:vAlign w:val="bottom"/>
            <w:tcBorders>
              <w:top w:val="single" w:sz="8" w:color="auto"/>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auto"/>
            </w:tcBorders>
            <w:shd w:val="clear" w:color="auto" w:fill="C0C0C0"/>
          </w:tcPr>
          <w:p>
            <w:pPr>
              <w:spacing w:after="0"/>
              <w:rPr>
                <w:sz w:val="20"/>
                <w:szCs w:val="20"/>
                <w:color w:val="auto"/>
              </w:rPr>
            </w:pPr>
          </w:p>
        </w:tc>
        <w:tc>
          <w:tcPr>
            <w:tcW w:w="84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20" w:type="dxa"/>
            <w:vAlign w:val="bottom"/>
          </w:tcPr>
          <w:p>
            <w:pPr>
              <w:ind w:left="320"/>
              <w:spacing w:after="0"/>
              <w:rPr>
                <w:sz w:val="20"/>
                <w:szCs w:val="20"/>
                <w:color w:val="auto"/>
              </w:rPr>
            </w:pPr>
            <w:r>
              <w:rPr>
                <w:rFonts w:ascii="Arial" w:cs="Arial" w:eastAsia="Arial" w:hAnsi="Arial"/>
                <w:sz w:val="18"/>
                <w:szCs w:val="18"/>
                <w:color w:val="auto"/>
              </w:rPr>
              <w:t>Weighted-average common shares used for</w:t>
            </w:r>
          </w:p>
        </w:tc>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620" w:type="dxa"/>
            <w:vAlign w:val="bottom"/>
          </w:tcPr>
          <w:p>
            <w:pPr>
              <w:ind w:left="620"/>
              <w:spacing w:after="0"/>
              <w:rPr>
                <w:sz w:val="20"/>
                <w:szCs w:val="20"/>
                <w:color w:val="auto"/>
              </w:rPr>
            </w:pPr>
            <w:r>
              <w:rPr>
                <w:rFonts w:ascii="Arial" w:cs="Arial" w:eastAsia="Arial" w:hAnsi="Arial"/>
                <w:sz w:val="18"/>
                <w:szCs w:val="18"/>
                <w:color w:val="auto"/>
              </w:rPr>
              <w:t>basic earnings (loss) per share</w:t>
            </w:r>
          </w:p>
        </w:tc>
        <w:tc>
          <w:tcPr>
            <w:tcW w:w="3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53,433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43,210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Effect of dilutive securities:</w:t>
            </w:r>
          </w:p>
        </w:tc>
        <w:tc>
          <w:tcPr>
            <w:tcW w:w="3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320"/>
              <w:spacing w:after="0"/>
              <w:rPr>
                <w:sz w:val="20"/>
                <w:szCs w:val="20"/>
                <w:color w:val="auto"/>
              </w:rPr>
            </w:pPr>
            <w:r>
              <w:rPr>
                <w:rFonts w:ascii="Arial" w:cs="Arial" w:eastAsia="Arial" w:hAnsi="Arial"/>
                <w:sz w:val="18"/>
                <w:szCs w:val="18"/>
                <w:color w:val="auto"/>
              </w:rPr>
              <w:t>Convertible notes</w:t>
            </w:r>
          </w:p>
        </w:tc>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11,311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Share-based payment awards</w:t>
            </w:r>
          </w:p>
        </w:tc>
        <w:tc>
          <w:tcPr>
            <w:tcW w:w="3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320"/>
              <w:spacing w:after="0"/>
              <w:rPr>
                <w:sz w:val="20"/>
                <w:szCs w:val="20"/>
                <w:color w:val="auto"/>
              </w:rPr>
            </w:pPr>
            <w:r>
              <w:rPr>
                <w:rFonts w:ascii="Arial" w:cs="Arial" w:eastAsia="Arial" w:hAnsi="Arial"/>
                <w:sz w:val="18"/>
                <w:szCs w:val="18"/>
                <w:color w:val="auto"/>
              </w:rPr>
              <w:t>Common stock warrants</w:t>
            </w:r>
          </w:p>
        </w:tc>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vMerge w:val="restart"/>
            <w:shd w:val="clear" w:color="auto" w:fill="C0C0C0"/>
          </w:tcPr>
          <w:p>
            <w:pPr>
              <w:ind w:left="320"/>
              <w:spacing w:after="0"/>
              <w:rPr>
                <w:sz w:val="20"/>
                <w:szCs w:val="20"/>
                <w:color w:val="auto"/>
              </w:rPr>
            </w:pPr>
            <w:r>
              <w:rPr>
                <w:rFonts w:ascii="Arial" w:cs="Arial" w:eastAsia="Arial" w:hAnsi="Arial"/>
                <w:sz w:val="18"/>
                <w:szCs w:val="18"/>
                <w:color w:val="auto"/>
              </w:rPr>
              <w:t>Dilutive potential common shares</w:t>
            </w:r>
          </w:p>
        </w:tc>
        <w:tc>
          <w:tcPr>
            <w:tcW w:w="32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vMerge w:val="continue"/>
            <w:shd w:val="clear" w:color="auto" w:fill="C0C0C0"/>
          </w:tcPr>
          <w:p>
            <w:pPr>
              <w:spacing w:after="0"/>
              <w:rPr>
                <w:sz w:val="21"/>
                <w:szCs w:val="21"/>
                <w:color w:val="auto"/>
              </w:rPr>
            </w:pPr>
          </w:p>
        </w:tc>
        <w:tc>
          <w:tcPr>
            <w:tcW w:w="3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12,370</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Arial" w:cs="Arial" w:eastAsia="Arial" w:hAnsi="Arial"/>
                <w:sz w:val="18"/>
                <w:szCs w:val="18"/>
                <w:color w:val="auto"/>
              </w:rPr>
              <w:t>Weighted-average common shares used for</w:t>
            </w:r>
          </w:p>
        </w:tc>
        <w:tc>
          <w:tcPr>
            <w:tcW w:w="3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620" w:type="dxa"/>
            <w:vAlign w:val="bottom"/>
          </w:tcPr>
          <w:p>
            <w:pPr>
              <w:ind w:left="320"/>
              <w:spacing w:after="0"/>
              <w:rPr>
                <w:sz w:val="20"/>
                <w:szCs w:val="20"/>
                <w:color w:val="auto"/>
              </w:rPr>
            </w:pPr>
            <w:r>
              <w:rPr>
                <w:rFonts w:ascii="Arial" w:cs="Arial" w:eastAsia="Arial" w:hAnsi="Arial"/>
                <w:sz w:val="18"/>
                <w:szCs w:val="18"/>
                <w:color w:val="auto"/>
              </w:rPr>
              <w:t>diluted earnings (loss) per share</w:t>
            </w:r>
          </w:p>
        </w:tc>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65,803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43,210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41,658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(loss) per share</w:t>
            </w:r>
          </w:p>
        </w:tc>
        <w:tc>
          <w:tcPr>
            <w:tcW w:w="3420" w:type="dxa"/>
            <w:vAlign w:val="bottom"/>
            <w:gridSpan w:val="2"/>
            <w:shd w:val="clear" w:color="auto" w:fill="C0C0C0"/>
          </w:tcPr>
          <w:p>
            <w:pPr>
              <w:ind w:left="3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(0.97)</w:t>
            </w:r>
          </w:p>
        </w:tc>
        <w:tc>
          <w:tcPr>
            <w:tcW w:w="140" w:type="dxa"/>
            <w:vAlign w:val="bottom"/>
            <w:shd w:val="clear" w:color="auto" w:fill="C0C0C0"/>
          </w:tcPr>
          <w:p>
            <w:pPr>
              <w:spacing w:after="0"/>
              <w:rPr>
                <w:sz w:val="21"/>
                <w:szCs w:val="21"/>
                <w:color w:val="auto"/>
              </w:rPr>
            </w:pPr>
          </w:p>
        </w:tc>
        <w:tc>
          <w:tcPr>
            <w:tcW w:w="3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42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9"/>
                <w:szCs w:val="19"/>
                <w:color w:val="auto"/>
              </w:rPr>
            </w:pP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620" w:type="dxa"/>
            <w:vAlign w:val="bottom"/>
          </w:tcPr>
          <w:p>
            <w:pPr>
              <w:spacing w:after="0"/>
              <w:rPr>
                <w:sz w:val="24"/>
                <w:szCs w:val="24"/>
                <w:color w:val="auto"/>
              </w:rPr>
            </w:pPr>
          </w:p>
        </w:tc>
        <w:tc>
          <w:tcPr>
            <w:tcW w:w="3240" w:type="dxa"/>
            <w:vAlign w:val="bottom"/>
          </w:tcPr>
          <w:p>
            <w:pPr>
              <w:jc w:val="right"/>
              <w:ind w:right="1972"/>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60" w:name="page61"/>
    <w:bookmarkEnd w:id="60"/>
    <w:p>
      <w:pPr>
        <w:ind w:right="80" w:firstLine="270"/>
        <w:spacing w:after="0" w:line="323" w:lineRule="auto"/>
        <w:rPr>
          <w:sz w:val="20"/>
          <w:szCs w:val="20"/>
          <w:color w:val="auto"/>
        </w:rPr>
      </w:pPr>
      <w:r>
        <w:rPr>
          <w:rFonts w:ascii="Arial" w:cs="Arial" w:eastAsia="Arial" w:hAnsi="Arial"/>
          <w:sz w:val="15"/>
          <w:szCs w:val="15"/>
          <w:color w:val="auto"/>
        </w:rPr>
        <w:t>In periods in which the Company incurred a net loss, the assumed exercises and vestings of certain outstanding share-based awards had an antidilutive effect. The assumed exercise of certain outstanding common stock warrants and the conversion of convertible senior notes to common stock would also have been antidilutive in the periods that the Company reported a net loss. The table below shows the amounts of incremental weighted-average shares of these share-based payment awards, common stock warrants, and convertible debt that were not considered potentially dilutive common shares in the fiscal years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4"/>
              </w:rPr>
              <w:t>Year Ended</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80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October 31,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November 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6"/>
              </w:rPr>
              <w:t>November 2,</w:t>
            </w:r>
          </w:p>
        </w:tc>
        <w:tc>
          <w:tcPr>
            <w:tcW w:w="20" w:type="dxa"/>
            <w:vAlign w:val="bottom"/>
          </w:tcPr>
          <w:p>
            <w:pPr>
              <w:spacing w:after="0"/>
              <w:rPr>
                <w:sz w:val="19"/>
                <w:szCs w:val="19"/>
                <w:color w:val="auto"/>
              </w:rPr>
            </w:pPr>
          </w:p>
        </w:tc>
      </w:tr>
      <w:tr>
        <w:trPr>
          <w:trHeight w:val="251"/>
        </w:trPr>
        <w:tc>
          <w:tcPr>
            <w:tcW w:w="808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r>
      <w:tr>
        <w:trPr>
          <w:trHeight w:val="243"/>
        </w:trPr>
        <w:tc>
          <w:tcPr>
            <w:tcW w:w="808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804</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8080" w:type="dxa"/>
            <w:vAlign w:val="bottom"/>
          </w:tcPr>
          <w:p>
            <w:pPr>
              <w:spacing w:after="0"/>
              <w:rPr>
                <w:sz w:val="20"/>
                <w:szCs w:val="20"/>
                <w:color w:val="auto"/>
              </w:rPr>
            </w:pPr>
            <w:r>
              <w:rPr>
                <w:rFonts w:ascii="Arial" w:cs="Arial" w:eastAsia="Arial" w:hAnsi="Arial"/>
                <w:sz w:val="18"/>
                <w:szCs w:val="18"/>
                <w:color w:val="auto"/>
              </w:rPr>
              <w:t>Convertible notes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1,429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4,409</w:t>
            </w:r>
          </w:p>
        </w:tc>
      </w:tr>
      <w:tr>
        <w:trPr>
          <w:trHeight w:val="244"/>
        </w:trPr>
        <w:tc>
          <w:tcPr>
            <w:tcW w:w="8080" w:type="dxa"/>
            <w:vAlign w:val="bottom"/>
            <w:shd w:val="clear" w:color="auto" w:fill="C0C0C0"/>
          </w:tcPr>
          <w:p>
            <w:pPr>
              <w:spacing w:after="0"/>
              <w:rPr>
                <w:sz w:val="20"/>
                <w:szCs w:val="20"/>
                <w:color w:val="auto"/>
              </w:rPr>
            </w:pPr>
            <w:r>
              <w:rPr>
                <w:rFonts w:ascii="Arial" w:cs="Arial" w:eastAsia="Arial" w:hAnsi="Arial"/>
                <w:sz w:val="18"/>
                <w:szCs w:val="18"/>
                <w:color w:val="auto"/>
              </w:rPr>
              <w:t>Share-based payment awards</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793</w:t>
            </w:r>
          </w:p>
        </w:tc>
        <w:tc>
          <w:tcPr>
            <w:tcW w:w="260" w:type="dxa"/>
            <w:vAlign w:val="bottom"/>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50"/>
        </w:trPr>
        <w:tc>
          <w:tcPr>
            <w:tcW w:w="80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6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4,429</w:t>
            </w:r>
          </w:p>
        </w:tc>
      </w:tr>
    </w:tbl>
    <w:p>
      <w:pPr>
        <w:spacing w:after="0" w:line="235"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table below shows the outstanding weighted-average share-based payment awards and common stock warrants that were excluded from the calculation of diluted earnings (loss) per share because their exercise price exceeded the average market value of the common shares for the period or, under application of the treasury stock method, they were otherwise determined to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4"/>
              </w:rPr>
              <w:t>Year Ended</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80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November 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6"/>
              </w:rPr>
              <w:t>November 2,</w:t>
            </w:r>
          </w:p>
        </w:tc>
        <w:tc>
          <w:tcPr>
            <w:tcW w:w="20" w:type="dxa"/>
            <w:vAlign w:val="bottom"/>
          </w:tcPr>
          <w:p>
            <w:pPr>
              <w:spacing w:after="0"/>
              <w:rPr>
                <w:sz w:val="19"/>
                <w:szCs w:val="19"/>
                <w:color w:val="auto"/>
              </w:rPr>
            </w:pPr>
          </w:p>
        </w:tc>
      </w:tr>
      <w:tr>
        <w:trPr>
          <w:trHeight w:val="251"/>
        </w:trPr>
        <w:tc>
          <w:tcPr>
            <w:tcW w:w="808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r>
      <w:tr>
        <w:trPr>
          <w:trHeight w:val="243"/>
        </w:trPr>
        <w:tc>
          <w:tcPr>
            <w:tcW w:w="8080" w:type="dxa"/>
            <w:vAlign w:val="bottom"/>
            <w:shd w:val="clear" w:color="auto" w:fill="C0C0C0"/>
          </w:tcPr>
          <w:p>
            <w:pPr>
              <w:spacing w:after="0"/>
              <w:rPr>
                <w:sz w:val="20"/>
                <w:szCs w:val="20"/>
                <w:color w:val="auto"/>
              </w:rPr>
            </w:pPr>
            <w:r>
              <w:rPr>
                <w:rFonts w:ascii="Arial" w:cs="Arial" w:eastAsia="Arial" w:hAnsi="Arial"/>
                <w:sz w:val="18"/>
                <w:szCs w:val="18"/>
                <w:color w:val="auto"/>
              </w:rPr>
              <w:t>Share based payment awards</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2,684</w:t>
            </w:r>
          </w:p>
        </w:tc>
        <w:tc>
          <w:tcPr>
            <w:tcW w:w="28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2,243</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21"/>
                <w:szCs w:val="21"/>
                <w:color w:val="auto"/>
              </w:rPr>
            </w:pPr>
          </w:p>
        </w:tc>
      </w:tr>
      <w:tr>
        <w:trPr>
          <w:trHeight w:val="237"/>
        </w:trPr>
        <w:tc>
          <w:tcPr>
            <w:tcW w:w="80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Common stock warrants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8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potentially dilutive shares excluded</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3,429</w:t>
            </w:r>
          </w:p>
        </w:tc>
        <w:tc>
          <w:tcPr>
            <w:tcW w:w="280" w:type="dxa"/>
            <w:vAlign w:val="bottom"/>
            <w:tcBorders>
              <w:bottom w:val="single" w:sz="8" w:color="C0C0C0"/>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2,245</w:t>
            </w:r>
          </w:p>
        </w:tc>
        <w:tc>
          <w:tcPr>
            <w:tcW w:w="260" w:type="dxa"/>
            <w:vAlign w:val="bottom"/>
            <w:tcBorders>
              <w:bottom w:val="single" w:sz="8" w:color="C0C0C0"/>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21"/>
                <w:szCs w:val="21"/>
                <w:color w:val="auto"/>
              </w:rPr>
            </w:pPr>
          </w:p>
        </w:tc>
      </w:tr>
    </w:tbl>
    <w:p>
      <w:pPr>
        <w:spacing w:after="0" w:line="2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the first quarter of fiscal year 2011, the Company awarded approximately 0.4 million shared-based payment awards to its employees and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58" w:lineRule="exact"/>
        <w:rPr>
          <w:sz w:val="20"/>
          <w:szCs w:val="20"/>
          <w:color w:val="auto"/>
        </w:rPr>
      </w:pPr>
    </w:p>
    <w:p>
      <w:pPr>
        <w:ind w:right="140" w:firstLine="270"/>
        <w:spacing w:after="0" w:line="306" w:lineRule="auto"/>
        <w:rPr>
          <w:sz w:val="20"/>
          <w:szCs w:val="20"/>
          <w:color w:val="auto"/>
        </w:rPr>
      </w:pPr>
      <w:r>
        <w:rPr>
          <w:rFonts w:ascii="Arial" w:cs="Arial" w:eastAsia="Arial" w:hAnsi="Arial"/>
          <w:sz w:val="16"/>
          <w:szCs w:val="16"/>
          <w:color w:val="auto"/>
        </w:rPr>
        <w:t>At October 31, 2010, the Company had outstanding purchase commitments of approximately $64 million, which included approximately $55 million related to capital expenditures. In addition, the Company’s recorded purchase commitments consisted primarily of liabilities for the purchase of manufacturing equipment of $40 million and $10 million at October 31, 2010 and November 1, 2009, respectively. See Note 9 for operating lease commitments.</w:t>
      </w:r>
    </w:p>
    <w:p>
      <w:pPr>
        <w:spacing w:after="0" w:line="188"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its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17 - GEOGRAPHIC AND SIGNIFICANT CUSTOMER INFORMATION</w:t>
      </w:r>
    </w:p>
    <w:p>
      <w:pPr>
        <w:spacing w:after="0" w:line="258" w:lineRule="exact"/>
        <w:rPr>
          <w:sz w:val="20"/>
          <w:szCs w:val="20"/>
          <w:color w:val="auto"/>
        </w:rPr>
      </w:pPr>
    </w:p>
    <w:p>
      <w:pPr>
        <w:ind w:firstLine="270"/>
        <w:spacing w:after="0" w:line="335" w:lineRule="auto"/>
        <w:rPr>
          <w:sz w:val="20"/>
          <w:szCs w:val="20"/>
          <w:color w:val="auto"/>
        </w:rPr>
      </w:pPr>
      <w:r>
        <w:rPr>
          <w:rFonts w:ascii="Arial" w:cs="Arial" w:eastAsia="Arial" w:hAnsi="Arial"/>
          <w:sz w:val="15"/>
          <w:szCs w:val="15"/>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2010, 2009 and 2008 net sales by geographic area and for ICs and FPDs, and total long-lived assets by geographic area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4"/>
              </w:rPr>
              <w:t>Year Ended</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3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8"/>
              </w:rPr>
              <w:t>November 1,</w:t>
            </w:r>
          </w:p>
        </w:tc>
        <w:tc>
          <w:tcPr>
            <w:tcW w:w="1080" w:type="dxa"/>
            <w:vAlign w:val="bottom"/>
            <w:gridSpan w:val="3"/>
          </w:tcPr>
          <w:p>
            <w:pPr>
              <w:ind w:left="140"/>
              <w:spacing w:after="0"/>
              <w:rPr>
                <w:sz w:val="20"/>
                <w:szCs w:val="20"/>
                <w:color w:val="auto"/>
              </w:rPr>
            </w:pPr>
            <w:r>
              <w:rPr>
                <w:rFonts w:ascii="Arial" w:cs="Arial" w:eastAsia="Arial" w:hAnsi="Arial"/>
                <w:sz w:val="18"/>
                <w:szCs w:val="18"/>
                <w:b w:val="1"/>
                <w:bCs w:val="1"/>
                <w:color w:val="auto"/>
                <w:w w:val="85"/>
              </w:rPr>
              <w:t>November 2,</w:t>
            </w:r>
          </w:p>
        </w:tc>
        <w:tc>
          <w:tcPr>
            <w:tcW w:w="20" w:type="dxa"/>
            <w:vAlign w:val="bottom"/>
          </w:tcPr>
          <w:p>
            <w:pPr>
              <w:spacing w:after="0"/>
              <w:rPr>
                <w:sz w:val="19"/>
                <w:szCs w:val="19"/>
                <w:color w:val="auto"/>
              </w:rPr>
            </w:pPr>
          </w:p>
        </w:tc>
      </w:tr>
      <w:tr>
        <w:trPr>
          <w:trHeight w:val="251"/>
        </w:trPr>
        <w:tc>
          <w:tcPr>
            <w:tcW w:w="3600" w:type="dxa"/>
            <w:vAlign w:val="bottom"/>
            <w:tcBorders>
              <w:bottom w:val="single" w:sz="8" w:color="C0C0C0"/>
            </w:tcBorders>
          </w:tcPr>
          <w:p>
            <w:pPr>
              <w:spacing w:after="0"/>
              <w:rPr>
                <w:sz w:val="21"/>
                <w:szCs w:val="21"/>
                <w:color w:val="auto"/>
              </w:rPr>
            </w:pPr>
          </w:p>
        </w:tc>
        <w:tc>
          <w:tcPr>
            <w:tcW w:w="22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r>
      <w:tr>
        <w:trPr>
          <w:trHeight w:val="243"/>
        </w:trPr>
        <w:tc>
          <w:tcPr>
            <w:tcW w:w="36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2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00" w:type="dxa"/>
            <w:vAlign w:val="bottom"/>
          </w:tcPr>
          <w:p>
            <w:pPr>
              <w:ind w:left="300"/>
              <w:spacing w:after="0"/>
              <w:rPr>
                <w:sz w:val="20"/>
                <w:szCs w:val="20"/>
                <w:color w:val="auto"/>
              </w:rPr>
            </w:pPr>
            <w:r>
              <w:rPr>
                <w:rFonts w:ascii="Arial" w:cs="Arial" w:eastAsia="Arial" w:hAnsi="Arial"/>
                <w:sz w:val="18"/>
                <w:szCs w:val="18"/>
                <w:color w:val="auto"/>
              </w:rPr>
              <w:t>Asia</w:t>
            </w:r>
          </w:p>
        </w:tc>
        <w:tc>
          <w:tcPr>
            <w:tcW w:w="242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259,951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223,138</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259,293</w:t>
            </w:r>
          </w:p>
        </w:tc>
      </w:tr>
      <w:tr>
        <w:trPr>
          <w:trHeight w:val="251"/>
        </w:trPr>
        <w:tc>
          <w:tcPr>
            <w:tcW w:w="3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2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41,850</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38,344</w:t>
            </w: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66,398</w:t>
            </w:r>
          </w:p>
        </w:tc>
        <w:tc>
          <w:tcPr>
            <w:tcW w:w="20" w:type="dxa"/>
            <w:vAlign w:val="bottom"/>
          </w:tcPr>
          <w:p>
            <w:pPr>
              <w:spacing w:after="0"/>
              <w:rPr>
                <w:sz w:val="21"/>
                <w:szCs w:val="21"/>
                <w:color w:val="auto"/>
              </w:rPr>
            </w:pPr>
          </w:p>
        </w:tc>
      </w:tr>
      <w:tr>
        <w:trPr>
          <w:trHeight w:val="235"/>
        </w:trPr>
        <w:tc>
          <w:tcPr>
            <w:tcW w:w="3600" w:type="dxa"/>
            <w:vAlign w:val="bottom"/>
          </w:tcPr>
          <w:p>
            <w:pPr>
              <w:ind w:left="320"/>
              <w:spacing w:after="0"/>
              <w:rPr>
                <w:sz w:val="20"/>
                <w:szCs w:val="20"/>
                <w:color w:val="auto"/>
              </w:rPr>
            </w:pPr>
            <w:r>
              <w:rPr>
                <w:rFonts w:ascii="Arial" w:cs="Arial" w:eastAsia="Arial" w:hAnsi="Arial"/>
                <w:sz w:val="18"/>
                <w:szCs w:val="18"/>
                <w:color w:val="auto"/>
              </w:rPr>
              <w:t>North America</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123,753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99,871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96,857</w:t>
            </w:r>
          </w:p>
        </w:tc>
      </w:tr>
      <w:tr>
        <w:trPr>
          <w:trHeight w:val="21"/>
        </w:trPr>
        <w:tc>
          <w:tcPr>
            <w:tcW w:w="3600" w:type="dxa"/>
            <w:vAlign w:val="bottom"/>
            <w:shd w:val="clear" w:color="auto" w:fill="C0C0C0"/>
          </w:tcPr>
          <w:p>
            <w:pPr>
              <w:spacing w:after="0" w:line="20" w:lineRule="exact"/>
              <w:rPr>
                <w:sz w:val="1"/>
                <w:szCs w:val="1"/>
                <w:color w:val="auto"/>
              </w:rPr>
            </w:pPr>
          </w:p>
        </w:tc>
        <w:tc>
          <w:tcPr>
            <w:tcW w:w="22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0" w:type="dxa"/>
            <w:vAlign w:val="bottom"/>
            <w:shd w:val="clear" w:color="auto" w:fill="C0C0C0"/>
          </w:tcPr>
          <w:p>
            <w:pPr>
              <w:spacing w:after="0"/>
              <w:rPr>
                <w:sz w:val="21"/>
                <w:szCs w:val="21"/>
                <w:color w:val="auto"/>
              </w:rPr>
            </w:pPr>
          </w:p>
        </w:tc>
        <w:tc>
          <w:tcPr>
            <w:tcW w:w="2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425,554</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361,353</w:t>
            </w:r>
          </w:p>
        </w:tc>
        <w:tc>
          <w:tcPr>
            <w:tcW w:w="32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422,548</w:t>
            </w:r>
          </w:p>
        </w:tc>
        <w:tc>
          <w:tcPr>
            <w:tcW w:w="20" w:type="dxa"/>
            <w:vAlign w:val="bottom"/>
          </w:tcPr>
          <w:p>
            <w:pPr>
              <w:spacing w:after="0"/>
              <w:rPr>
                <w:sz w:val="21"/>
                <w:szCs w:val="21"/>
                <w:color w:val="auto"/>
              </w:rPr>
            </w:pPr>
          </w:p>
        </w:tc>
      </w:tr>
      <w:tr>
        <w:trPr>
          <w:trHeight w:val="243"/>
        </w:trPr>
        <w:tc>
          <w:tcPr>
            <w:tcW w:w="3600" w:type="dxa"/>
            <w:vAlign w:val="bottom"/>
            <w:tcBorders>
              <w:top w:val="single" w:sz="8" w:color="C0C0C0"/>
            </w:tcBorders>
          </w:tcPr>
          <w:p>
            <w:pPr>
              <w:spacing w:after="0"/>
              <w:rPr>
                <w:sz w:val="21"/>
                <w:szCs w:val="21"/>
                <w:color w:val="auto"/>
              </w:rPr>
            </w:pPr>
          </w:p>
        </w:tc>
        <w:tc>
          <w:tcPr>
            <w:tcW w:w="2240" w:type="dxa"/>
            <w:vAlign w:val="bottom"/>
            <w:tcBorders>
              <w:top w:val="single" w:sz="8" w:color="C0C0C0"/>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IC</w:t>
            </w:r>
          </w:p>
        </w:tc>
        <w:tc>
          <w:tcPr>
            <w:tcW w:w="2420" w:type="dxa"/>
            <w:vAlign w:val="bottom"/>
            <w:gridSpan w:val="2"/>
            <w:shd w:val="clear" w:color="auto" w:fill="C0C0C0"/>
          </w:tcPr>
          <w:p>
            <w:pPr>
              <w:ind w:left="2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329,767</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272,866</w:t>
            </w:r>
          </w:p>
        </w:tc>
        <w:tc>
          <w:tcPr>
            <w:tcW w:w="32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314,949</w:t>
            </w:r>
          </w:p>
        </w:tc>
        <w:tc>
          <w:tcPr>
            <w:tcW w:w="20" w:type="dxa"/>
            <w:vAlign w:val="bottom"/>
          </w:tcPr>
          <w:p>
            <w:pPr>
              <w:spacing w:after="0"/>
              <w:rPr>
                <w:sz w:val="21"/>
                <w:szCs w:val="21"/>
                <w:color w:val="auto"/>
              </w:rPr>
            </w:pPr>
          </w:p>
        </w:tc>
      </w:tr>
      <w:tr>
        <w:trPr>
          <w:trHeight w:val="235"/>
        </w:trPr>
        <w:tc>
          <w:tcPr>
            <w:tcW w:w="3600" w:type="dxa"/>
            <w:vAlign w:val="bottom"/>
          </w:tcPr>
          <w:p>
            <w:pPr>
              <w:ind w:left="320"/>
              <w:spacing w:after="0"/>
              <w:rPr>
                <w:sz w:val="20"/>
                <w:szCs w:val="20"/>
                <w:color w:val="auto"/>
              </w:rPr>
            </w:pPr>
            <w:r>
              <w:rPr>
                <w:rFonts w:ascii="Arial" w:cs="Arial" w:eastAsia="Arial" w:hAnsi="Arial"/>
                <w:sz w:val="18"/>
                <w:szCs w:val="18"/>
                <w:color w:val="auto"/>
              </w:rPr>
              <w:t>FPD</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95,787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88,487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107,599</w:t>
            </w:r>
          </w:p>
        </w:tc>
      </w:tr>
      <w:tr>
        <w:trPr>
          <w:trHeight w:val="21"/>
        </w:trPr>
        <w:tc>
          <w:tcPr>
            <w:tcW w:w="3600" w:type="dxa"/>
            <w:vAlign w:val="bottom"/>
            <w:shd w:val="clear" w:color="auto" w:fill="C0C0C0"/>
          </w:tcPr>
          <w:p>
            <w:pPr>
              <w:spacing w:after="0" w:line="20" w:lineRule="exact"/>
              <w:rPr>
                <w:sz w:val="1"/>
                <w:szCs w:val="1"/>
                <w:color w:val="auto"/>
              </w:rPr>
            </w:pPr>
          </w:p>
        </w:tc>
        <w:tc>
          <w:tcPr>
            <w:tcW w:w="22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600" w:type="dxa"/>
            <w:vAlign w:val="bottom"/>
            <w:shd w:val="clear" w:color="auto" w:fill="C0C0C0"/>
          </w:tcPr>
          <w:p>
            <w:pPr>
              <w:spacing w:after="0"/>
              <w:rPr>
                <w:sz w:val="20"/>
                <w:szCs w:val="20"/>
                <w:color w:val="auto"/>
              </w:rPr>
            </w:pPr>
          </w:p>
        </w:tc>
        <w:tc>
          <w:tcPr>
            <w:tcW w:w="22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425,554</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361,353</w:t>
            </w:r>
          </w:p>
        </w:tc>
        <w:tc>
          <w:tcPr>
            <w:tcW w:w="32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422,548</w:t>
            </w:r>
          </w:p>
        </w:tc>
        <w:tc>
          <w:tcPr>
            <w:tcW w:w="20" w:type="dxa"/>
            <w:vAlign w:val="bottom"/>
          </w:tcPr>
          <w:p>
            <w:pPr>
              <w:spacing w:after="0"/>
              <w:rPr>
                <w:sz w:val="20"/>
                <w:szCs w:val="20"/>
                <w:color w:val="auto"/>
              </w:rPr>
            </w:pPr>
          </w:p>
        </w:tc>
      </w:tr>
      <w:tr>
        <w:trPr>
          <w:trHeight w:val="35"/>
        </w:trPr>
        <w:tc>
          <w:tcPr>
            <w:tcW w:w="3600" w:type="dxa"/>
            <w:vAlign w:val="bottom"/>
            <w:shd w:val="clear" w:color="auto" w:fill="C0C0C0"/>
          </w:tcPr>
          <w:p>
            <w:pPr>
              <w:spacing w:after="0"/>
              <w:rPr>
                <w:sz w:val="3"/>
                <w:szCs w:val="3"/>
                <w:color w:val="auto"/>
              </w:rPr>
            </w:pPr>
          </w:p>
        </w:tc>
        <w:tc>
          <w:tcPr>
            <w:tcW w:w="224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r>
        <w:trPr>
          <w:trHeight w:val="471"/>
        </w:trPr>
        <w:tc>
          <w:tcPr>
            <w:tcW w:w="3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8"/>
              </w:rPr>
              <w:t>November 1,</w:t>
            </w:r>
          </w:p>
        </w:tc>
        <w:tc>
          <w:tcPr>
            <w:tcW w:w="1100" w:type="dxa"/>
            <w:vAlign w:val="bottom"/>
            <w:gridSpan w:val="4"/>
          </w:tcPr>
          <w:p>
            <w:pPr>
              <w:ind w:left="140"/>
              <w:spacing w:after="0"/>
              <w:rPr>
                <w:sz w:val="20"/>
                <w:szCs w:val="20"/>
                <w:color w:val="auto"/>
              </w:rPr>
            </w:pPr>
            <w:r>
              <w:rPr>
                <w:rFonts w:ascii="Arial" w:cs="Arial" w:eastAsia="Arial" w:hAnsi="Arial"/>
                <w:sz w:val="18"/>
                <w:szCs w:val="18"/>
                <w:b w:val="1"/>
                <w:bCs w:val="1"/>
                <w:color w:val="auto"/>
                <w:w w:val="86"/>
              </w:rPr>
              <w:t>November 2,</w:t>
            </w:r>
          </w:p>
        </w:tc>
      </w:tr>
      <w:tr>
        <w:trPr>
          <w:trHeight w:val="252"/>
        </w:trPr>
        <w:tc>
          <w:tcPr>
            <w:tcW w:w="3600" w:type="dxa"/>
            <w:vAlign w:val="bottom"/>
            <w:tcBorders>
              <w:bottom w:val="single" w:sz="8" w:color="C0C0C0"/>
            </w:tcBorders>
          </w:tcPr>
          <w:p>
            <w:pPr>
              <w:spacing w:after="0"/>
              <w:rPr>
                <w:sz w:val="21"/>
                <w:szCs w:val="21"/>
                <w:color w:val="auto"/>
              </w:rPr>
            </w:pPr>
          </w:p>
        </w:tc>
        <w:tc>
          <w:tcPr>
            <w:tcW w:w="22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r>
      <w:tr>
        <w:trPr>
          <w:trHeight w:val="243"/>
        </w:trPr>
        <w:tc>
          <w:tcPr>
            <w:tcW w:w="36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Long-lived assets</w:t>
            </w:r>
          </w:p>
        </w:tc>
        <w:tc>
          <w:tcPr>
            <w:tcW w:w="2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600" w:type="dxa"/>
            <w:vAlign w:val="bottom"/>
          </w:tcPr>
          <w:p>
            <w:pPr>
              <w:ind w:left="300"/>
              <w:spacing w:after="0"/>
              <w:rPr>
                <w:sz w:val="20"/>
                <w:szCs w:val="20"/>
                <w:color w:val="auto"/>
              </w:rPr>
            </w:pPr>
            <w:r>
              <w:rPr>
                <w:rFonts w:ascii="Arial" w:cs="Arial" w:eastAsia="Arial" w:hAnsi="Arial"/>
                <w:sz w:val="18"/>
                <w:szCs w:val="18"/>
                <w:color w:val="auto"/>
              </w:rPr>
              <w:t>Asia</w:t>
            </w:r>
          </w:p>
        </w:tc>
        <w:tc>
          <w:tcPr>
            <w:tcW w:w="242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221,283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199,179</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228,009</w:t>
            </w:r>
          </w:p>
        </w:tc>
      </w:tr>
      <w:tr>
        <w:trPr>
          <w:trHeight w:val="251"/>
        </w:trPr>
        <w:tc>
          <w:tcPr>
            <w:tcW w:w="36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2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14,182</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9,579</w:t>
            </w:r>
          </w:p>
        </w:tc>
        <w:tc>
          <w:tcPr>
            <w:tcW w:w="1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14,134</w:t>
            </w:r>
          </w:p>
        </w:tc>
        <w:tc>
          <w:tcPr>
            <w:tcW w:w="20" w:type="dxa"/>
            <w:vAlign w:val="bottom"/>
          </w:tcPr>
          <w:p>
            <w:pPr>
              <w:spacing w:after="0"/>
              <w:rPr>
                <w:sz w:val="21"/>
                <w:szCs w:val="21"/>
                <w:color w:val="auto"/>
              </w:rPr>
            </w:pPr>
          </w:p>
        </w:tc>
      </w:tr>
      <w:tr>
        <w:trPr>
          <w:trHeight w:val="235"/>
        </w:trPr>
        <w:tc>
          <w:tcPr>
            <w:tcW w:w="3600" w:type="dxa"/>
            <w:vAlign w:val="bottom"/>
          </w:tcPr>
          <w:p>
            <w:pPr>
              <w:ind w:left="320"/>
              <w:spacing w:after="0"/>
              <w:rPr>
                <w:sz w:val="20"/>
                <w:szCs w:val="20"/>
                <w:color w:val="auto"/>
              </w:rPr>
            </w:pPr>
            <w:r>
              <w:rPr>
                <w:rFonts w:ascii="Arial" w:cs="Arial" w:eastAsia="Arial" w:hAnsi="Arial"/>
                <w:sz w:val="18"/>
                <w:szCs w:val="18"/>
                <w:color w:val="auto"/>
              </w:rPr>
              <w:t>North America</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134,349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139,131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194,385</w:t>
            </w:r>
          </w:p>
        </w:tc>
      </w:tr>
      <w:tr>
        <w:trPr>
          <w:trHeight w:val="21"/>
        </w:trPr>
        <w:tc>
          <w:tcPr>
            <w:tcW w:w="3600" w:type="dxa"/>
            <w:vAlign w:val="bottom"/>
            <w:shd w:val="clear" w:color="auto" w:fill="C0C0C0"/>
          </w:tcPr>
          <w:p>
            <w:pPr>
              <w:spacing w:after="0" w:line="20" w:lineRule="exact"/>
              <w:rPr>
                <w:sz w:val="1"/>
                <w:szCs w:val="1"/>
                <w:color w:val="auto"/>
              </w:rPr>
            </w:pPr>
          </w:p>
        </w:tc>
        <w:tc>
          <w:tcPr>
            <w:tcW w:w="22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600" w:type="dxa"/>
            <w:vAlign w:val="bottom"/>
            <w:shd w:val="clear" w:color="auto" w:fill="C0C0C0"/>
          </w:tcPr>
          <w:p>
            <w:pPr>
              <w:spacing w:after="0"/>
              <w:rPr>
                <w:sz w:val="20"/>
                <w:szCs w:val="20"/>
                <w:color w:val="auto"/>
              </w:rPr>
            </w:pPr>
          </w:p>
        </w:tc>
        <w:tc>
          <w:tcPr>
            <w:tcW w:w="22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369,814</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347,889</w:t>
            </w:r>
          </w:p>
        </w:tc>
        <w:tc>
          <w:tcPr>
            <w:tcW w:w="32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436,528</w:t>
            </w:r>
          </w:p>
        </w:tc>
        <w:tc>
          <w:tcPr>
            <w:tcW w:w="20" w:type="dxa"/>
            <w:vAlign w:val="bottom"/>
          </w:tcPr>
          <w:p>
            <w:pPr>
              <w:spacing w:after="0"/>
              <w:rPr>
                <w:sz w:val="20"/>
                <w:szCs w:val="20"/>
                <w:color w:val="auto"/>
              </w:rPr>
            </w:pPr>
          </w:p>
        </w:tc>
      </w:tr>
      <w:tr>
        <w:trPr>
          <w:trHeight w:val="35"/>
        </w:trPr>
        <w:tc>
          <w:tcPr>
            <w:tcW w:w="3600" w:type="dxa"/>
            <w:vAlign w:val="bottom"/>
            <w:shd w:val="clear" w:color="auto" w:fill="C0C0C0"/>
          </w:tcPr>
          <w:p>
            <w:pPr>
              <w:spacing w:after="0"/>
              <w:rPr>
                <w:sz w:val="3"/>
                <w:szCs w:val="3"/>
                <w:color w:val="auto"/>
              </w:rPr>
            </w:pPr>
          </w:p>
        </w:tc>
        <w:tc>
          <w:tcPr>
            <w:tcW w:w="224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235"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Samsung Electronics Co., Ltd. accounted for approximately 19% of the Company's net sales in fiscal years 2010 and 2009 and 25% of the Company's net sales in fiscal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CONCENTRATIONS OF CREDIT RISK</w:t>
      </w:r>
    </w:p>
    <w:p>
      <w:pPr>
        <w:spacing w:after="0" w:line="258"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color w:val="auto"/>
        </w:rPr>
        <w:t>Financial instruments that potentially subject the Company to credit risk principally consist of trade accounts receivables and temporary cash investments. The Company sells its products primarily to manufacturers in the semiconductor and FPD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197"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19 – OTHER COMPREHENSIVE INCOME</w:t>
      </w:r>
    </w:p>
    <w:p>
      <w:pPr>
        <w:spacing w:after="0" w:line="25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The Company's other comprehensive income, as reported in the consolidated statements of equity, consists of all changes in equity during the periods presented except those resulting from investments by owners and distributions to owners. The components of other comprehensive income for the last three fiscal years, net of tax,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Foreign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Changes in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1540" w:type="dxa"/>
            <w:vAlign w:val="bottom"/>
            <w:gridSpan w:val="4"/>
          </w:tcPr>
          <w:p>
            <w:pPr>
              <w:ind w:left="28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Total Other</w:t>
            </w:r>
          </w:p>
        </w:tc>
      </w:tr>
      <w:tr>
        <w:trPr>
          <w:trHeight w:val="243"/>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Translation</w:t>
            </w:r>
          </w:p>
        </w:tc>
        <w:tc>
          <w:tcPr>
            <w:tcW w:w="28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of Cash Flow</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Investment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Comprehensive</w:t>
            </w:r>
          </w:p>
        </w:tc>
      </w:tr>
      <w:tr>
        <w:trPr>
          <w:trHeight w:val="252"/>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3"/>
              </w:rPr>
              <w:t>Gains (Losses)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Income</w:t>
            </w:r>
          </w:p>
        </w:tc>
      </w:tr>
      <w:tr>
        <w:trPr>
          <w:trHeight w:val="243"/>
        </w:trPr>
        <w:tc>
          <w:tcPr>
            <w:tcW w:w="4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Year Ended October 31, 2010</w:t>
            </w:r>
          </w:p>
        </w:tc>
        <w:tc>
          <w:tcPr>
            <w:tcW w:w="100" w:type="dxa"/>
            <w:vAlign w:val="bottom"/>
            <w:tcBorders>
              <w:top w:val="single" w:sz="8" w:color="auto"/>
            </w:tcBorders>
            <w:shd w:val="clear" w:color="auto" w:fill="C0C0C0"/>
          </w:tcPr>
          <w:p>
            <w:pPr>
              <w:spacing w:after="0"/>
              <w:rPr>
                <w:sz w:val="21"/>
                <w:szCs w:val="21"/>
                <w:color w:val="auto"/>
              </w:rPr>
            </w:pPr>
          </w:p>
        </w:tc>
        <w:tc>
          <w:tcPr>
            <w:tcW w:w="10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2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300" w:type="dxa"/>
            <w:vAlign w:val="bottom"/>
            <w:tcBorders>
              <w:top w:val="single" w:sz="8" w:color="auto"/>
            </w:tcBorders>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Attributable to Photronics,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13,451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13,421</w:t>
            </w:r>
          </w:p>
        </w:tc>
      </w:tr>
      <w:tr>
        <w:trPr>
          <w:trHeight w:val="251"/>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Attributable to noncontrolling interests</w:t>
            </w: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3,123</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3,006</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16,574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16,427</w:t>
            </w:r>
          </w:p>
        </w:tc>
      </w:tr>
      <w:tr>
        <w:trPr>
          <w:trHeight w:val="244"/>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w:t>
            </w: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16,574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16,492</w:t>
            </w:r>
          </w:p>
        </w:tc>
      </w:tr>
      <w:tr>
        <w:trPr>
          <w:trHeight w:val="471"/>
        </w:trPr>
        <w:tc>
          <w:tcPr>
            <w:tcW w:w="4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Foreign</w:t>
            </w: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6"/>
              </w:rPr>
              <w:t>Changes in</w:t>
            </w: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1540" w:type="dxa"/>
            <w:vAlign w:val="bottom"/>
            <w:gridSpan w:val="4"/>
          </w:tcPr>
          <w:p>
            <w:pPr>
              <w:ind w:left="28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Total Other</w:t>
            </w:r>
          </w:p>
        </w:tc>
      </w:tr>
      <w:tr>
        <w:trPr>
          <w:trHeight w:val="243"/>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Translation</w:t>
            </w:r>
          </w:p>
        </w:tc>
        <w:tc>
          <w:tcPr>
            <w:tcW w:w="28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of Cash Flow</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Investment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Comprehensive</w:t>
            </w:r>
          </w:p>
        </w:tc>
      </w:tr>
      <w:tr>
        <w:trPr>
          <w:trHeight w:val="252"/>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3"/>
              </w:rPr>
              <w:t>Gains (Losses)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Income</w:t>
            </w:r>
          </w:p>
        </w:tc>
      </w:tr>
      <w:tr>
        <w:trPr>
          <w:trHeight w:val="243"/>
        </w:trPr>
        <w:tc>
          <w:tcPr>
            <w:tcW w:w="4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Year ended November 1, 2009</w:t>
            </w:r>
          </w:p>
        </w:tc>
        <w:tc>
          <w:tcPr>
            <w:tcW w:w="100" w:type="dxa"/>
            <w:vAlign w:val="bottom"/>
            <w:tcBorders>
              <w:top w:val="single" w:sz="8" w:color="auto"/>
            </w:tcBorders>
            <w:shd w:val="clear" w:color="auto" w:fill="C0C0C0"/>
          </w:tcPr>
          <w:p>
            <w:pPr>
              <w:spacing w:after="0"/>
              <w:rPr>
                <w:sz w:val="21"/>
                <w:szCs w:val="21"/>
                <w:color w:val="auto"/>
              </w:rPr>
            </w:pPr>
          </w:p>
        </w:tc>
        <w:tc>
          <w:tcPr>
            <w:tcW w:w="10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2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300" w:type="dxa"/>
            <w:vAlign w:val="bottom"/>
            <w:tcBorders>
              <w:top w:val="single" w:sz="8" w:color="auto"/>
            </w:tcBorders>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Attributable to Photronics,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10,712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11,112</w:t>
            </w:r>
          </w:p>
        </w:tc>
      </w:tr>
      <w:tr>
        <w:trPr>
          <w:trHeight w:val="251"/>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Attributable to noncontrolling interests</w:t>
            </w: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11,054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11,392</w:t>
            </w:r>
          </w:p>
        </w:tc>
      </w:tr>
      <w:tr>
        <w:trPr>
          <w:trHeight w:val="244"/>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11,054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11,392</w:t>
            </w:r>
          </w:p>
        </w:tc>
      </w:tr>
      <w:tr>
        <w:trPr>
          <w:trHeight w:val="471"/>
        </w:trPr>
        <w:tc>
          <w:tcPr>
            <w:tcW w:w="4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Foreign</w:t>
            </w: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6"/>
              </w:rPr>
              <w:t>Changes in</w:t>
            </w: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3"/>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1540" w:type="dxa"/>
            <w:vAlign w:val="bottom"/>
            <w:gridSpan w:val="4"/>
          </w:tcPr>
          <w:p>
            <w:pPr>
              <w:ind w:left="28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Total Other</w:t>
            </w:r>
          </w:p>
        </w:tc>
      </w:tr>
      <w:tr>
        <w:trPr>
          <w:trHeight w:val="243"/>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Translation</w:t>
            </w:r>
          </w:p>
        </w:tc>
        <w:tc>
          <w:tcPr>
            <w:tcW w:w="28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of Cash Flow</w:t>
            </w:r>
          </w:p>
        </w:tc>
        <w:tc>
          <w:tcPr>
            <w:tcW w:w="100" w:type="dxa"/>
            <w:vAlign w:val="bottom"/>
          </w:tcPr>
          <w:p>
            <w:pPr>
              <w:spacing w:after="0"/>
              <w:rPr>
                <w:sz w:val="21"/>
                <w:szCs w:val="21"/>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Investment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Comprehensive</w:t>
            </w:r>
          </w:p>
        </w:tc>
      </w:tr>
      <w:tr>
        <w:trPr>
          <w:trHeight w:val="266"/>
        </w:trPr>
        <w:tc>
          <w:tcPr>
            <w:tcW w:w="4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3"/>
                <w:szCs w:val="23"/>
                <w:color w:val="auto"/>
              </w:rPr>
            </w:pPr>
          </w:p>
        </w:tc>
        <w:tc>
          <w:tcPr>
            <w:tcW w:w="1220" w:type="dxa"/>
            <w:vAlign w:val="bottom"/>
          </w:tcPr>
          <w:p>
            <w:pPr>
              <w:jc w:val="center"/>
              <w:ind w:right="12"/>
              <w:spacing w:after="0"/>
              <w:rPr>
                <w:sz w:val="20"/>
                <w:szCs w:val="20"/>
                <w:color w:val="auto"/>
              </w:rPr>
            </w:pPr>
            <w:r>
              <w:rPr>
                <w:rFonts w:ascii="Arial" w:cs="Arial" w:eastAsia="Arial" w:hAnsi="Arial"/>
                <w:sz w:val="18"/>
                <w:szCs w:val="18"/>
                <w:b w:val="1"/>
                <w:bCs w:val="1"/>
                <w:color w:val="auto"/>
                <w:w w:val="83"/>
              </w:rPr>
              <w:t>Gains (Losses)</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3"/>
                <w:szCs w:val="23"/>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Income</w:t>
            </w:r>
          </w:p>
        </w:tc>
      </w:tr>
      <w:tr>
        <w:trPr>
          <w:trHeight w:val="243"/>
        </w:trPr>
        <w:tc>
          <w:tcPr>
            <w:tcW w:w="4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Year ended November 2, 2008</w:t>
            </w:r>
          </w:p>
        </w:tc>
        <w:tc>
          <w:tcPr>
            <w:tcW w:w="100" w:type="dxa"/>
            <w:vAlign w:val="bottom"/>
            <w:tcBorders>
              <w:top w:val="single" w:sz="8" w:color="auto"/>
            </w:tcBorders>
            <w:shd w:val="clear" w:color="auto" w:fill="C0C0C0"/>
          </w:tcPr>
          <w:p>
            <w:pPr>
              <w:spacing w:after="0"/>
              <w:rPr>
                <w:sz w:val="21"/>
                <w:szCs w:val="21"/>
                <w:color w:val="auto"/>
              </w:rPr>
            </w:pPr>
          </w:p>
        </w:tc>
        <w:tc>
          <w:tcPr>
            <w:tcW w:w="10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2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300" w:type="dxa"/>
            <w:vAlign w:val="bottom"/>
            <w:tcBorders>
              <w:top w:val="single" w:sz="8" w:color="auto"/>
            </w:tcBorders>
            <w:shd w:val="clear" w:color="auto" w:fill="C0C0C0"/>
          </w:tcPr>
          <w:p>
            <w:pPr>
              <w:spacing w:after="0"/>
              <w:rPr>
                <w:sz w:val="21"/>
                <w:szCs w:val="2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Attributable to Photronics,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(62,234)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(62,318)</w:t>
            </w:r>
          </w:p>
        </w:tc>
      </w:tr>
      <w:tr>
        <w:trPr>
          <w:trHeight w:val="251"/>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Attributable to noncontrolling interests</w:t>
            </w: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(63,142)</w:t>
            </w:r>
          </w:p>
        </w:tc>
      </w:tr>
      <w:tr>
        <w:trPr>
          <w:trHeight w:val="251"/>
        </w:trPr>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8"/>
        </w:trPr>
        <w:tc>
          <w:tcPr>
            <w:tcW w:w="4740" w:type="dxa"/>
            <w:vAlign w:val="bottom"/>
          </w:tcPr>
          <w:p>
            <w:pPr>
              <w:ind w:left="320"/>
              <w:spacing w:after="0"/>
              <w:rPr>
                <w:sz w:val="20"/>
                <w:szCs w:val="20"/>
                <w:color w:val="auto"/>
              </w:rPr>
            </w:pPr>
            <w:r>
              <w:rPr>
                <w:rFonts w:ascii="Arial" w:cs="Arial" w:eastAsia="Arial" w:hAnsi="Arial"/>
                <w:sz w:val="18"/>
                <w:szCs w:val="18"/>
                <w:color w:val="auto"/>
              </w:rPr>
              <w:t>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(63,058)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(63,142)</w:t>
            </w:r>
          </w:p>
        </w:tc>
      </w:tr>
      <w:tr>
        <w:trPr>
          <w:trHeight w:val="28"/>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The foreign currency translation adjustment amount of $63.1 million for the fiscal year ended November 2, 2008, was primarily due to the weakening of the Korean won against the U.S. dollar.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20 - OTHER RELATED PARTY TRANSACTIONS</w:t>
      </w:r>
    </w:p>
    <w:p>
      <w:pPr>
        <w:spacing w:after="0" w:line="258"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The chairman of the board and chief executive officer of the Company is also the chairman of the board and majority shareholder of a company that provides secure managed information technology services to Photronics. Another director of the Company is also a shareholder, chief executive officer and executive vice chairman of this company. Since 2002, the Company has entered into various service contracts with this company to provide services to all of the Company's worldwide facilities. The Company incurred expenses for services provided by this company of $2.6 million, $2.8 million and $3.3 million in fiscal years 2010, 2009 and 2008, respectively and, as of October 31, 2010, had an outstanding balance of $0.4 million due to this company. As of October 31, 2010, the Company had contracted with this company for various services through October 1, 2013, at a cost of approximately $4.9 million.</w:t>
      </w:r>
    </w:p>
    <w:p>
      <w:pPr>
        <w:spacing w:after="0" w:line="20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$21.9 million, $25.5 million, and $28.5 million of photomask blanks from this company in 2010, 2009, and 2008, respectively, for which the amount owed to this company was $4.3 million at October 31, 2010 and $6.5 million at November 1, 2009.</w:t>
      </w:r>
    </w:p>
    <w:p>
      <w:pPr>
        <w:spacing w:after="0" w:line="221" w:lineRule="exact"/>
        <w:rPr>
          <w:sz w:val="20"/>
          <w:szCs w:val="20"/>
          <w:color w:val="auto"/>
        </w:rPr>
      </w:pPr>
    </w:p>
    <w:p>
      <w:pPr>
        <w:ind w:right="20" w:firstLine="270"/>
        <w:spacing w:after="0" w:line="332" w:lineRule="auto"/>
        <w:rPr>
          <w:sz w:val="20"/>
          <w:szCs w:val="20"/>
          <w:color w:val="auto"/>
        </w:rPr>
      </w:pPr>
      <w:r>
        <w:rPr>
          <w:rFonts w:ascii="Arial" w:cs="Arial" w:eastAsia="Arial" w:hAnsi="Arial"/>
          <w:sz w:val="16"/>
          <w:szCs w:val="16"/>
          <w:color w:val="auto"/>
        </w:rPr>
        <w:t>The Company believes that the terms of its transactions with related parties described above were negotiated at arm's length and were no less favorable to the Company than the Company could have obtained from unrelated third parties. See Note 4 for other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MEASUREMENTS</w:t>
      </w:r>
    </w:p>
    <w:p>
      <w:pPr>
        <w:spacing w:after="0" w:line="25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Company adopted SFAS No. 157 "Fair Value Measurements" (primarily codified under ASC 820) as of November 3, 2008, for all financial assets and liabilities measured on both a recurring and nonrecurring basis, and for nonfinancial assets and liabilities measured on a recurring basis. This guidance defines fair value as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 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199"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the asset and the consideration of assumptions that would be made by market participants when pricing the asset or liability, such as transfer restrictions (in the case of an asset) or nonperformance risk.</w:t>
      </w:r>
    </w:p>
    <w:p>
      <w:pPr>
        <w:spacing w:after="0" w:line="224"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This guidance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When, due to changes in the inputs to valuation techniques used to measure its fair value, an asset or liability is transferred between levels of the fair value hierarchy, the Company recognizes all transfer to or from any level to be as of the beginning of the reporting period. Assessing the significance of a particular input to the fair value measurement in its entirety requires judgment, including the consideration of factors specific to the asset or liability. The hierarchy consists of the following three levels: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4" w:name="page65"/>
    <w:bookmarkEnd w:id="64"/>
    <w:p>
      <w:pPr>
        <w:ind w:left="28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in active markets for identical securities that are accessible at the measurement date.</w:t>
      </w:r>
    </w:p>
    <w:p>
      <w:pPr>
        <w:spacing w:after="0" w:line="252"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Inputs other than quoted prices included within Level 1 are observable for the asset or liability, either directly or indirectly. At October 31, 2010 and November 1, 2009, the Company's Level 2 liabilities are certain common stock warrants, which are included in other liabilities.</w:t>
      </w:r>
    </w:p>
    <w:p>
      <w:pPr>
        <w:spacing w:after="0" w:line="166"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 At November 1, 2009, the Company's Level 3 asset was a foreign bond fund that is included in other current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present assets and liabilities as of October 31, 2010 and November 1, 2009, that are measured at fair value on a recurring basis.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October 31, 2010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Prices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Active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Significant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320" w:type="dxa"/>
            <w:vAlign w:val="bottom"/>
            <w:gridSpan w:val="4"/>
          </w:tcPr>
          <w:p>
            <w:pPr>
              <w:ind w:left="3260"/>
              <w:spacing w:after="0"/>
              <w:rPr>
                <w:sz w:val="20"/>
                <w:szCs w:val="20"/>
                <w:color w:val="auto"/>
              </w:rPr>
            </w:pPr>
            <w:r>
              <w:rPr>
                <w:rFonts w:ascii="Arial" w:cs="Arial" w:eastAsia="Arial" w:hAnsi="Arial"/>
                <w:sz w:val="18"/>
                <w:szCs w:val="18"/>
                <w:b w:val="1"/>
                <w:bCs w:val="1"/>
                <w:color w:val="auto"/>
              </w:rPr>
              <w:t>for Identical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Observable</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Unobservable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80" w:type="dxa"/>
            <w:vAlign w:val="bottom"/>
            <w:tcBorders>
              <w:bottom w:val="single" w:sz="8" w:color="C0C0C0"/>
            </w:tcBorders>
          </w:tcPr>
          <w:p>
            <w:pPr>
              <w:spacing w:after="0"/>
              <w:rPr>
                <w:sz w:val="21"/>
                <w:szCs w:val="21"/>
                <w:color w:val="auto"/>
              </w:rPr>
            </w:pPr>
          </w:p>
        </w:tc>
        <w:tc>
          <w:tcPr>
            <w:tcW w:w="3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(Level 2)</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8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3360" w:type="dxa"/>
            <w:vAlign w:val="bottom"/>
            <w:gridSpan w:val="2"/>
            <w:shd w:val="clear" w:color="auto" w:fill="C0C0C0"/>
          </w:tcPr>
          <w:p>
            <w:pPr>
              <w:ind w:left="32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(1,881)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Pr>
          <w:p>
            <w:pPr>
              <w:spacing w:after="0"/>
              <w:rPr>
                <w:sz w:val="20"/>
                <w:szCs w:val="20"/>
                <w:color w:val="auto"/>
              </w:rPr>
            </w:pPr>
            <w:r>
              <w:rPr>
                <w:rFonts w:ascii="Arial" w:cs="Arial" w:eastAsia="Arial" w:hAnsi="Arial"/>
                <w:sz w:val="18"/>
                <w:szCs w:val="18"/>
                <w:color w:val="auto"/>
              </w:rPr>
              <w:t>Total liabilities</w:t>
            </w:r>
          </w:p>
        </w:tc>
        <w:tc>
          <w:tcPr>
            <w:tcW w:w="3360" w:type="dxa"/>
            <w:vAlign w:val="bottom"/>
            <w:gridSpan w:val="2"/>
          </w:tcPr>
          <w:p>
            <w:pPr>
              <w:ind w:left="32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(1,881)</w:t>
            </w:r>
          </w:p>
        </w:tc>
        <w:tc>
          <w:tcPr>
            <w:tcW w:w="2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(1,881)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gridSpan w:val="4"/>
          </w:tcPr>
          <w:p>
            <w:pPr>
              <w:jc w:val="right"/>
              <w:ind w:right="532"/>
              <w:spacing w:after="0"/>
              <w:rPr>
                <w:sz w:val="20"/>
                <w:szCs w:val="20"/>
                <w:color w:val="auto"/>
              </w:rPr>
            </w:pPr>
            <w:r>
              <w:rPr>
                <w:rFonts w:ascii="Arial" w:cs="Arial" w:eastAsia="Arial" w:hAnsi="Arial"/>
                <w:sz w:val="18"/>
                <w:szCs w:val="18"/>
                <w:b w:val="1"/>
                <w:bCs w:val="1"/>
                <w:color w:val="auto"/>
              </w:rPr>
              <w:t>November 1, 2009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Prices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Active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Significant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320" w:type="dxa"/>
            <w:vAlign w:val="bottom"/>
            <w:gridSpan w:val="4"/>
          </w:tcPr>
          <w:p>
            <w:pPr>
              <w:ind w:left="3260"/>
              <w:spacing w:after="0"/>
              <w:rPr>
                <w:sz w:val="20"/>
                <w:szCs w:val="20"/>
                <w:color w:val="auto"/>
              </w:rPr>
            </w:pPr>
            <w:r>
              <w:rPr>
                <w:rFonts w:ascii="Arial" w:cs="Arial" w:eastAsia="Arial" w:hAnsi="Arial"/>
                <w:sz w:val="18"/>
                <w:szCs w:val="18"/>
                <w:b w:val="1"/>
                <w:bCs w:val="1"/>
                <w:color w:val="auto"/>
              </w:rPr>
              <w:t>for Identical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Observable</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Unobservable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80" w:type="dxa"/>
            <w:vAlign w:val="bottom"/>
            <w:tcBorders>
              <w:bottom w:val="single" w:sz="8" w:color="C0C0C0"/>
            </w:tcBorders>
          </w:tcPr>
          <w:p>
            <w:pPr>
              <w:spacing w:after="0"/>
              <w:rPr>
                <w:sz w:val="21"/>
                <w:szCs w:val="21"/>
                <w:color w:val="auto"/>
              </w:rPr>
            </w:pPr>
          </w:p>
        </w:tc>
        <w:tc>
          <w:tcPr>
            <w:tcW w:w="3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(Level 2)</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80" w:type="dxa"/>
            <w:vAlign w:val="bottom"/>
            <w:shd w:val="clear" w:color="auto" w:fill="C0C0C0"/>
          </w:tcPr>
          <w:p>
            <w:pPr>
              <w:spacing w:after="0"/>
              <w:rPr>
                <w:sz w:val="20"/>
                <w:szCs w:val="20"/>
                <w:color w:val="auto"/>
              </w:rPr>
            </w:pPr>
            <w:r>
              <w:rPr>
                <w:rFonts w:ascii="Arial" w:cs="Arial" w:eastAsia="Arial" w:hAnsi="Arial"/>
                <w:sz w:val="18"/>
                <w:szCs w:val="18"/>
                <w:color w:val="auto"/>
              </w:rPr>
              <w:t>Foreign bond fund</w:t>
            </w:r>
          </w:p>
        </w:tc>
        <w:tc>
          <w:tcPr>
            <w:tcW w:w="3360" w:type="dxa"/>
            <w:vAlign w:val="bottom"/>
            <w:gridSpan w:val="2"/>
            <w:shd w:val="clear" w:color="auto" w:fill="C0C0C0"/>
          </w:tcPr>
          <w:p>
            <w:pPr>
              <w:ind w:left="32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148</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2"/>
          </w:tcPr>
          <w:p>
            <w:pPr>
              <w:ind w:left="32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36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3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vMerge w:val="continue"/>
            <w:shd w:val="clear" w:color="auto" w:fill="C0C0C0"/>
          </w:tcPr>
          <w:p>
            <w:pPr>
              <w:spacing w:after="0"/>
              <w:rPr>
                <w:sz w:val="20"/>
                <w:szCs w:val="20"/>
                <w:color w:val="auto"/>
              </w:rPr>
            </w:pPr>
          </w:p>
        </w:tc>
        <w:tc>
          <w:tcPr>
            <w:tcW w:w="3360" w:type="dxa"/>
            <w:vAlign w:val="bottom"/>
            <w:gridSpan w:val="2"/>
            <w:shd w:val="clear" w:color="auto" w:fill="C0C0C0"/>
          </w:tcPr>
          <w:p>
            <w:pPr>
              <w:ind w:left="32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(3,205)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Pr>
          <w:p>
            <w:pPr>
              <w:spacing w:after="0"/>
              <w:rPr>
                <w:sz w:val="20"/>
                <w:szCs w:val="20"/>
                <w:color w:val="auto"/>
              </w:rPr>
            </w:pPr>
            <w:r>
              <w:rPr>
                <w:rFonts w:ascii="Arial" w:cs="Arial" w:eastAsia="Arial" w:hAnsi="Arial"/>
                <w:sz w:val="18"/>
                <w:szCs w:val="18"/>
                <w:color w:val="auto"/>
              </w:rPr>
              <w:t>Total liabilities</w:t>
            </w:r>
          </w:p>
        </w:tc>
        <w:tc>
          <w:tcPr>
            <w:tcW w:w="3360" w:type="dxa"/>
            <w:vAlign w:val="bottom"/>
            <w:gridSpan w:val="2"/>
          </w:tcPr>
          <w:p>
            <w:pPr>
              <w:ind w:left="32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(3,205)</w:t>
            </w:r>
          </w:p>
        </w:tc>
        <w:tc>
          <w:tcPr>
            <w:tcW w:w="2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680" w:type="dxa"/>
            <w:vAlign w:val="bottom"/>
          </w:tcPr>
          <w:p>
            <w:pPr>
              <w:spacing w:after="0"/>
              <w:rPr>
                <w:sz w:val="24"/>
                <w:szCs w:val="24"/>
                <w:color w:val="auto"/>
              </w:rPr>
            </w:pPr>
          </w:p>
        </w:tc>
        <w:tc>
          <w:tcPr>
            <w:tcW w:w="3260" w:type="dxa"/>
            <w:vAlign w:val="bottom"/>
          </w:tcPr>
          <w:p>
            <w:pPr>
              <w:ind w:left="1940"/>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65" w:name="page66"/>
    <w:bookmarkEnd w:id="65"/>
    <w:p>
      <w:pPr>
        <w:ind w:right="120" w:firstLine="220"/>
        <w:spacing w:after="0" w:line="256" w:lineRule="auto"/>
        <w:rPr>
          <w:sz w:val="20"/>
          <w:szCs w:val="20"/>
          <w:color w:val="auto"/>
        </w:rPr>
      </w:pPr>
      <w:r>
        <w:rPr>
          <w:rFonts w:ascii="Arial" w:cs="Arial" w:eastAsia="Arial" w:hAnsi="Arial"/>
          <w:sz w:val="18"/>
          <w:szCs w:val="18"/>
          <w:color w:val="auto"/>
        </w:rPr>
        <w:t>The foreign bond fund above represents the Company's investment in a fund whose fair value was provided by the trust. During the three month period ended August 1, 2010, the Company determined that its investment in the fund was not recoverable. As a result of this determination, the Company wrote off its entire investment in the fund. This resulted in a net of tax charge of $0.2 million (included in investment and other income (expense), net) and a reclassification adjustment of an unrealized holding gain to earnings of $0.1 million.</w:t>
      </w:r>
    </w:p>
    <w:p>
      <w:pPr>
        <w:spacing w:after="0" w:line="224"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A significant observable input into the model included the market price of the Company's common stock at the measurement date. Gains or losses related to fair value adjustments to the common stock warrants liability are included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52"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The Company, as permitted under accounting guidance issued in 2008, elected to defer the effective date for applying fair value guidance to its nonfinancial assets and liabilities that are measured at fair value on a nonrecurring basis until November 2, 2009. As a result of this election, certain long-lived assets that, in fiscal year 2009 and in connection with the Company's restructuring initiatives, were measured at fair value on a nonrecurring basis did not have fair value disclosure provisions applied to them. The Company did not have any nonfinancial assets or liabilities measured at fair value on a nonrecurring basis at October 31,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The estimated fair value of the Company's outstanding 5.5% convertible senior notes was approximately $83.2 million and $63.3 million at October 31, 2010 and November 1, 2009,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8"/>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22 - QUARTERLY RESULTS OF OPERATIONS (UNAUDITED)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The following table sets forth certain unaudited quarterly financial data:</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b w:val="1"/>
                <w:bCs w:val="1"/>
                <w:color w:val="auto"/>
                <w:w w:val="92"/>
              </w:rPr>
              <w:t>First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Second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Third</w:t>
            </w: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Fourth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Year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Fiscal 2010:</w:t>
            </w:r>
          </w:p>
        </w:tc>
        <w:tc>
          <w:tcPr>
            <w:tcW w:w="5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jc w:val="center"/>
              <w:ind w:right="32"/>
              <w:spacing w:after="0"/>
              <w:rPr>
                <w:sz w:val="20"/>
                <w:szCs w:val="20"/>
                <w:color w:val="auto"/>
              </w:rPr>
            </w:pPr>
            <w:r>
              <w:rPr>
                <w:rFonts w:ascii="Arial" w:cs="Arial" w:eastAsia="Arial" w:hAnsi="Arial"/>
                <w:sz w:val="18"/>
                <w:szCs w:val="18"/>
                <w:b w:val="1"/>
                <w:bCs w:val="1"/>
                <w:color w:val="auto"/>
                <w:w w:val="91"/>
              </w:rPr>
              <w:t>(a) (b)</w:t>
            </w:r>
          </w:p>
        </w:tc>
        <w:tc>
          <w:tcPr>
            <w:tcW w:w="260" w:type="dxa"/>
            <w:vAlign w:val="bottom"/>
            <w:tcBorders>
              <w:top w:val="single" w:sz="8" w:color="C0C0C0"/>
            </w:tcBorders>
            <w:shd w:val="clear" w:color="auto" w:fill="C0C0C0"/>
          </w:tcPr>
          <w:p>
            <w:pPr>
              <w:spacing w:after="0"/>
              <w:rPr>
                <w:sz w:val="21"/>
                <w:szCs w:val="21"/>
                <w:color w:val="auto"/>
              </w:rPr>
            </w:pPr>
          </w:p>
        </w:tc>
        <w:tc>
          <w:tcPr>
            <w:tcW w:w="780" w:type="dxa"/>
            <w:vAlign w:val="bottom"/>
            <w:tcBorders>
              <w:top w:val="single" w:sz="8" w:color="auto"/>
            </w:tcBorders>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 (d) (e)</w:t>
            </w:r>
          </w:p>
        </w:tc>
        <w:tc>
          <w:tcPr>
            <w:tcW w:w="2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jc w:val="center"/>
              <w:ind w:right="12"/>
              <w:spacing w:after="0"/>
              <w:rPr>
                <w:sz w:val="20"/>
                <w:szCs w:val="20"/>
                <w:color w:val="auto"/>
              </w:rPr>
            </w:pPr>
            <w:r>
              <w:rPr>
                <w:rFonts w:ascii="Arial" w:cs="Arial" w:eastAsia="Arial" w:hAnsi="Arial"/>
                <w:sz w:val="18"/>
                <w:szCs w:val="18"/>
                <w:b w:val="1"/>
                <w:bCs w:val="1"/>
                <w:color w:val="auto"/>
                <w:w w:val="88"/>
              </w:rPr>
              <w:t>(f)</w:t>
            </w:r>
          </w:p>
        </w:tc>
        <w:tc>
          <w:tcPr>
            <w:tcW w:w="2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(g) (h)</w:t>
            </w:r>
          </w:p>
        </w:tc>
        <w:tc>
          <w:tcPr>
            <w:tcW w:w="280" w:type="dxa"/>
            <w:vAlign w:val="bottom"/>
            <w:tcBorders>
              <w:top w:val="single" w:sz="8" w:color="C0C0C0"/>
            </w:tcBorders>
            <w:shd w:val="clear" w:color="auto" w:fill="C0C0C0"/>
          </w:tcPr>
          <w:p>
            <w:pPr>
              <w:spacing w:after="0"/>
              <w:rPr>
                <w:sz w:val="21"/>
                <w:szCs w:val="21"/>
                <w:color w:val="auto"/>
              </w:rPr>
            </w:pPr>
          </w:p>
        </w:tc>
        <w:tc>
          <w:tcPr>
            <w:tcW w:w="780" w:type="dxa"/>
            <w:vAlign w:val="bottom"/>
            <w:tcBorders>
              <w:top w:val="single" w:sz="8" w:color="auto"/>
            </w:tcBorders>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(e) (i) (j)</w:t>
            </w:r>
          </w:p>
        </w:tc>
        <w:tc>
          <w:tcPr>
            <w:tcW w:w="0" w:type="dxa"/>
            <w:vAlign w:val="bottom"/>
          </w:tcPr>
          <w:p>
            <w:pPr>
              <w:spacing w:after="0"/>
              <w:rPr>
                <w:sz w:val="1"/>
                <w:szCs w:val="1"/>
                <w:color w:val="auto"/>
              </w:rPr>
            </w:pPr>
          </w:p>
        </w:tc>
      </w:tr>
      <w:tr>
        <w:trPr>
          <w:trHeight w:val="243"/>
        </w:trPr>
        <w:tc>
          <w:tcPr>
            <w:tcW w:w="598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98,197</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105,070</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112,251</w:t>
            </w:r>
          </w:p>
        </w:tc>
        <w:tc>
          <w:tcPr>
            <w:tcW w:w="28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82"/>
              </w:rPr>
              <w:t>$ 110,036</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6"/>
              </w:rPr>
              <w:t>425,554</w:t>
            </w:r>
          </w:p>
        </w:tc>
        <w:tc>
          <w:tcPr>
            <w:tcW w:w="0" w:type="dxa"/>
            <w:vAlign w:val="bottom"/>
          </w:tcPr>
          <w:p>
            <w:pPr>
              <w:spacing w:after="0"/>
              <w:rPr>
                <w:sz w:val="1"/>
                <w:szCs w:val="1"/>
                <w:color w:val="auto"/>
              </w:rPr>
            </w:pPr>
          </w:p>
        </w:tc>
      </w:tr>
      <w:tr>
        <w:trPr>
          <w:trHeight w:val="235"/>
        </w:trPr>
        <w:tc>
          <w:tcPr>
            <w:tcW w:w="59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18,177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26,272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25,276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91,815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8,605</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7,607</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8,462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28"/>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59"/>
        </w:trPr>
        <w:tc>
          <w:tcPr>
            <w:tcW w:w="598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Earnings per share:</w:t>
            </w:r>
          </w:p>
        </w:tc>
        <w:tc>
          <w:tcPr>
            <w:tcW w:w="5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Fiscal 2009:</w:t>
            </w:r>
          </w:p>
        </w:tc>
        <w:tc>
          <w:tcPr>
            <w:tcW w:w="5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center"/>
              <w:ind w:right="32"/>
              <w:spacing w:after="0"/>
              <w:rPr>
                <w:sz w:val="20"/>
                <w:szCs w:val="20"/>
                <w:color w:val="auto"/>
              </w:rPr>
            </w:pPr>
            <w:r>
              <w:rPr>
                <w:rFonts w:ascii="Arial" w:cs="Arial" w:eastAsia="Arial" w:hAnsi="Arial"/>
                <w:sz w:val="18"/>
                <w:szCs w:val="18"/>
                <w:b w:val="1"/>
                <w:bCs w:val="1"/>
                <w:color w:val="auto"/>
                <w:w w:val="99"/>
              </w:rPr>
              <w:t>(k)</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(l) (m)</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center"/>
              <w:ind w:right="360"/>
              <w:spacing w:after="0"/>
              <w:rPr>
                <w:sz w:val="20"/>
                <w:szCs w:val="20"/>
                <w:color w:val="auto"/>
              </w:rPr>
            </w:pPr>
            <w:r>
              <w:rPr>
                <w:rFonts w:ascii="Arial" w:cs="Arial" w:eastAsia="Arial" w:hAnsi="Arial"/>
                <w:sz w:val="18"/>
                <w:szCs w:val="18"/>
                <w:b w:val="1"/>
                <w:bCs w:val="1"/>
                <w:color w:val="auto"/>
                <w:w w:val="90"/>
              </w:rPr>
              <w:t>(n) (o)</w:t>
            </w:r>
          </w:p>
        </w:tc>
        <w:tc>
          <w:tcPr>
            <w:tcW w:w="760" w:type="dxa"/>
            <w:vAlign w:val="bottom"/>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(p) (q) (r)</w:t>
            </w:r>
          </w:p>
        </w:tc>
        <w:tc>
          <w:tcPr>
            <w:tcW w:w="28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(r) (s) (t)</w:t>
            </w:r>
          </w:p>
        </w:tc>
        <w:tc>
          <w:tcPr>
            <w:tcW w:w="0" w:type="dxa"/>
            <w:vAlign w:val="bottom"/>
          </w:tcPr>
          <w:p>
            <w:pPr>
              <w:spacing w:after="0"/>
              <w:rPr>
                <w:sz w:val="1"/>
                <w:szCs w:val="1"/>
                <w:color w:val="auto"/>
              </w:rPr>
            </w:pPr>
          </w:p>
        </w:tc>
      </w:tr>
      <w:tr>
        <w:trPr>
          <w:trHeight w:val="243"/>
        </w:trPr>
        <w:tc>
          <w:tcPr>
            <w:tcW w:w="598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8"/>
              </w:rPr>
              <w:t>88,042</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83,232</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95,401</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94,678</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6"/>
              </w:rPr>
              <w:t>361,353</w:t>
            </w:r>
          </w:p>
        </w:tc>
        <w:tc>
          <w:tcPr>
            <w:tcW w:w="0" w:type="dxa"/>
            <w:vAlign w:val="bottom"/>
          </w:tcPr>
          <w:p>
            <w:pPr>
              <w:spacing w:after="0"/>
              <w:rPr>
                <w:sz w:val="1"/>
                <w:szCs w:val="1"/>
                <w:color w:val="auto"/>
              </w:rPr>
            </w:pPr>
          </w:p>
        </w:tc>
      </w:tr>
      <w:tr>
        <w:trPr>
          <w:trHeight w:val="235"/>
        </w:trPr>
        <w:tc>
          <w:tcPr>
            <w:tcW w:w="59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10,559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11,440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18,054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57,071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(9,967)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(10,156)</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(22,448)</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1,144</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(41,427)</w:t>
            </w:r>
          </w:p>
        </w:tc>
        <w:tc>
          <w:tcPr>
            <w:tcW w:w="0" w:type="dxa"/>
            <w:vAlign w:val="bottom"/>
          </w:tcPr>
          <w:p>
            <w:pPr>
              <w:spacing w:after="0"/>
              <w:rPr>
                <w:sz w:val="1"/>
                <w:szCs w:val="1"/>
                <w:color w:val="auto"/>
              </w:rPr>
            </w:pPr>
          </w:p>
        </w:tc>
      </w:tr>
      <w:tr>
        <w:trPr>
          <w:trHeight w:val="228"/>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 (loss) attributable to Photronics, Inc.</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(10,233)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(10,072)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(22,847)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(41,910)</w:t>
            </w:r>
          </w:p>
        </w:tc>
        <w:tc>
          <w:tcPr>
            <w:tcW w:w="0" w:type="dxa"/>
            <w:vAlign w:val="bottom"/>
          </w:tcPr>
          <w:p>
            <w:pPr>
              <w:spacing w:after="0"/>
              <w:rPr>
                <w:sz w:val="1"/>
                <w:szCs w:val="1"/>
                <w:color w:val="auto"/>
              </w:rPr>
            </w:pPr>
          </w:p>
        </w:tc>
      </w:tr>
      <w:tr>
        <w:trPr>
          <w:trHeight w:val="259"/>
        </w:trPr>
        <w:tc>
          <w:tcPr>
            <w:tcW w:w="598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Earnings (loss) per share:</w:t>
            </w:r>
          </w:p>
        </w:tc>
        <w:tc>
          <w:tcPr>
            <w:tcW w:w="5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$0.2 million net of tax in connection with the closure of the Company’s Shanghai, China, manufacturing facility.</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gain of $0.1 million net of tax in connection with warrants issued to purchase the Company’s stock.</w:t>
      </w:r>
    </w:p>
    <w:p>
      <w:pPr>
        <w:spacing w:after="0" w:line="136" w:lineRule="exact"/>
        <w:rPr>
          <w:rFonts w:ascii="Arial" w:cs="Arial" w:eastAsia="Arial" w:hAnsi="Arial"/>
          <w:sz w:val="14"/>
          <w:szCs w:val="14"/>
          <w:color w:val="auto"/>
        </w:rPr>
      </w:pPr>
    </w:p>
    <w:p>
      <w:pPr>
        <w:ind w:left="420" w:right="200" w:hanging="412"/>
        <w:spacing w:after="0" w:line="253"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credits of $5.0 million net of tax that primarily resulted from the sale of the Company’s Shanghai, China, manufacturing facility, which was sold in connection with its closure.</w:t>
      </w:r>
    </w:p>
    <w:p>
      <w:pPr>
        <w:spacing w:after="0" w:line="10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charge of $0.9 million net of tax in connection with warrants issued to purchase the Company’s stock.</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$1.0 million charge net of tax for the write-off of deferred financing fees that resulted from an amendment of the Company’s revolving credit facility.</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gain of $0.4 million net of tax in connection with warrants issued to purchase the Company’s stock.</w:t>
      </w:r>
    </w:p>
    <w:p>
      <w:pPr>
        <w:spacing w:after="0" w:line="136" w:lineRule="exact"/>
        <w:rPr>
          <w:rFonts w:ascii="Arial" w:cs="Arial" w:eastAsia="Arial" w:hAnsi="Arial"/>
          <w:sz w:val="14"/>
          <w:szCs w:val="14"/>
          <w:color w:val="auto"/>
        </w:rPr>
      </w:pPr>
    </w:p>
    <w:p>
      <w:pPr>
        <w:ind w:left="420" w:right="200" w:hanging="412"/>
        <w:spacing w:after="0" w:line="253"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credits of $0.2 million net of tax that primarily resulted from the sale of the Company’s Shanghai, China, manufacturing facility, which was sold in connection with its closure.</w:t>
      </w:r>
    </w:p>
    <w:p>
      <w:pPr>
        <w:spacing w:after="0" w:line="10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charge of $0.5 million net of tax in connection with warrants issued to purchase the Company’s stock.</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credits of $5.0 million net of tax in connection with the closure of the Company’s Shanghai, China, manufacturing facility.</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charge of $0.9 million net of tax in connection with warrants issued to purchase the Company’s stock.</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$1.7 million ($1.3 million net of tax) in connection with the closure of the Company's Manchester, U.K., manufacturing facility.</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$0.4 million ($0.3 million net of tax) in connection with the closure of the Company's Manchester, U.K., manufacturing facility.</w:t>
      </w:r>
    </w:p>
    <w:p>
      <w:pPr>
        <w:spacing w:after="0" w:line="13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impairment charge of $1.5 million ($1.1 million net of tax) relating to the Company's Manchester, U.K., manufacturing facility.</w:t>
      </w:r>
    </w:p>
    <w:p>
      <w:pPr>
        <w:spacing w:after="0" w:line="136" w:lineRule="exact"/>
        <w:rPr>
          <w:rFonts w:ascii="Arial" w:cs="Arial" w:eastAsia="Arial" w:hAnsi="Arial"/>
          <w:sz w:val="14"/>
          <w:szCs w:val="14"/>
          <w:color w:val="auto"/>
        </w:rPr>
      </w:pPr>
    </w:p>
    <w:p>
      <w:pPr>
        <w:ind w:left="420" w:right="580" w:hanging="412"/>
        <w:spacing w:after="0" w:line="253"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$10.7 million ($10.5 million net of tax) in connection with the closures of the Company's Shanghai, China and Manchester, U.K., manufacturing facilities.</w:t>
      </w:r>
    </w:p>
    <w:p>
      <w:pPr>
        <w:spacing w:after="0" w:line="10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charge of $6.8 million net of tax in connection with warrants issued to purchase the Company's common stock.</w:t>
      </w:r>
    </w:p>
    <w:p>
      <w:pPr>
        <w:spacing w:after="0" w:line="136" w:lineRule="exact"/>
        <w:rPr>
          <w:rFonts w:ascii="Arial" w:cs="Arial" w:eastAsia="Arial" w:hAnsi="Arial"/>
          <w:sz w:val="14"/>
          <w:szCs w:val="14"/>
          <w:color w:val="auto"/>
        </w:rPr>
      </w:pPr>
    </w:p>
    <w:p>
      <w:pPr>
        <w:ind w:left="420" w:right="720" w:hanging="412"/>
        <w:spacing w:after="0" w:line="253"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$0.8 million ($0.6 million net of tax) in connection with the closures of the Company's Shanghai, China and Manchester, U.K., manufacturing facilities.</w:t>
      </w:r>
    </w:p>
    <w:p>
      <w:pPr>
        <w:spacing w:after="0" w:line="106" w:lineRule="exact"/>
        <w:rPr>
          <w:rFonts w:ascii="Arial" w:cs="Arial" w:eastAsia="Arial" w:hAnsi="Arial"/>
          <w:sz w:val="14"/>
          <w:szCs w:val="14"/>
          <w:color w:val="auto"/>
        </w:rPr>
      </w:pPr>
    </w:p>
    <w:p>
      <w:pPr>
        <w:ind w:left="420" w:right="540" w:hanging="412"/>
        <w:spacing w:after="0" w:line="253"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non-cash mark-to-market gain of $6.5 million net of tax in connection with warrants issued (and a portion cancelled) to purchase the Company's common stock and deferred financing fees write-off of $3.7 million net of tax in connection with repayment of debt.</w:t>
      </w:r>
    </w:p>
    <w:p>
      <w:pPr>
        <w:spacing w:after="0" w:line="106"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gain on sale of the Company's Manchester, U.K., facility of $2.0 million ($1.5 million net of tax).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left="360" w:right="620" w:hanging="352"/>
        <w:spacing w:after="0" w:line="253" w:lineRule="auto"/>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consolidation and restructuring charges of $13.6 million ($12.9 million net of tax) in connection with the closures of the Company's Shanghai, China and Manchester, U.K., manufacturing facilities.</w:t>
      </w:r>
    </w:p>
    <w:p>
      <w:pPr>
        <w:spacing w:after="0" w:line="106" w:lineRule="exact"/>
        <w:rPr>
          <w:rFonts w:ascii="Arial" w:cs="Arial" w:eastAsia="Arial" w:hAnsi="Arial"/>
          <w:sz w:val="14"/>
          <w:szCs w:val="14"/>
          <w:color w:val="auto"/>
        </w:rPr>
      </w:pPr>
    </w:p>
    <w:p>
      <w:pPr>
        <w:ind w:left="360" w:hanging="352"/>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non-cash mark-to-market charge of $0.3 million net of tax, in connection with warrants issued to purchase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RECENT ACCOUNTING PRONOUNCEMENTS</w:t>
      </w:r>
    </w:p>
    <w:p>
      <w:pPr>
        <w:spacing w:after="0" w:line="231"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In July 2010, the FASB amended its guidance on disclosures for financing receivables with the intention of providing additional information to assist financial statement users in assessing an entity's credit risk exposures and evaluating the adequacy of its allowance for credit losses. The disclosure requirements in the amended guidance that are as of the end of a reporting period are effective for interim and annual reporting periods ending on or after December 15, 2010, and the disclosures about activity that occurs during a reporting period are effective for interim and annual reporting periods beginning on or after December 15, 2010. The Company expects to provide any applicable disclosures required by this amended guidance beginning in the first quarter of its 2011 fiscal year.</w:t>
      </w:r>
    </w:p>
    <w:p>
      <w:pPr>
        <w:spacing w:after="0" w:line="197"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In September 2009, the FASB issued revised guidance for multiple-deliverable revenue arrangements. This guidance changes the criteria for separating consideration in multiple-deliverable arrangements by establishing a selling price hierarchy for determining the selling price of a deliverable. Under the revised guidance, the selling price for each deliverable in a multiple-deliverable arrangement will, in order of preference and when available, be based on vendor specific objective evidence, third party evidence, or estimated selling price. The revised guidance prescribes that an estimated selling price be determined in a manner that is consistent with that used to determine the price to sell the deliverable on a stand-alone basis, eliminates the residual method of allocation, and requires that arrangement consideration be allocated at the inception of the a rrangement to all deliverables using the relative selling price method. The revised guidance also significantly expands the disclosures related to multiple-deliverable arrangements, and is effective prospectively for revenue arrangements entered into or materially modified in fiscal years beginning on or after June 15, 2010, with early adoption permitted. The adoption of this guidance by the Company on November 1, 2010 did not have a material impact on the Company's consolidated financial statements.</w:t>
      </w:r>
    </w:p>
    <w:p>
      <w:pPr>
        <w:spacing w:after="0" w:line="201" w:lineRule="exact"/>
        <w:rPr>
          <w:sz w:val="20"/>
          <w:szCs w:val="20"/>
          <w:color w:val="auto"/>
        </w:rPr>
      </w:pPr>
    </w:p>
    <w:p>
      <w:pPr>
        <w:ind w:firstLine="270"/>
        <w:spacing w:after="0" w:line="310" w:lineRule="auto"/>
        <w:rPr>
          <w:sz w:val="20"/>
          <w:szCs w:val="20"/>
          <w:color w:val="auto"/>
        </w:rPr>
      </w:pPr>
      <w:r>
        <w:rPr>
          <w:rFonts w:ascii="Arial" w:cs="Arial" w:eastAsia="Arial" w:hAnsi="Arial"/>
          <w:sz w:val="15"/>
          <w:szCs w:val="15"/>
          <w:color w:val="auto"/>
        </w:rPr>
        <w:t>In June 2009, the FASB issued amended standards for determining whether to consolidate a variable interest entity. The amended standards require an enterprise to perform an analysis to determine whether its variable interest or interests give it a controlling financial interest in a variable interest entity. This analysis is performed in order to identify the primary beneficiary of the variable interest entity as being the enterprise that has certain characteristics described in the amended standards. The amended standards, in addition to other requirements, require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These amended standards are effective for financial statements issued for fiscal years beginning after November 15, 2009, and interim financial statements within those fiscal years. The Company is currently evaluating the impact, if any, this guidance will have on its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80" w:firstLine="220"/>
        <w:spacing w:after="0" w:line="312" w:lineRule="auto"/>
        <w:rPr>
          <w:sz w:val="20"/>
          <w:szCs w:val="20"/>
          <w:color w:val="auto"/>
        </w:rPr>
      </w:pPr>
      <w:r>
        <w:rPr>
          <w:rFonts w:ascii="Arial" w:cs="Arial" w:eastAsia="Arial" w:hAnsi="Arial"/>
          <w:sz w:val="15"/>
          <w:szCs w:val="15"/>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 bjectives, and management necessarily was required to apply its judgment in evaluating the cost-benefit relationship of possible controls and procedures.</w:t>
      </w:r>
    </w:p>
    <w:p>
      <w:pPr>
        <w:spacing w:after="0" w:line="186" w:lineRule="exact"/>
        <w:rPr>
          <w:sz w:val="20"/>
          <w:szCs w:val="20"/>
          <w:color w:val="auto"/>
        </w:rPr>
      </w:pPr>
    </w:p>
    <w:p>
      <w:pPr>
        <w:ind w:right="180" w:firstLine="270"/>
        <w:spacing w:after="0" w:line="302" w:lineRule="auto"/>
        <w:rPr>
          <w:sz w:val="20"/>
          <w:szCs w:val="20"/>
          <w:color w:val="auto"/>
        </w:rPr>
      </w:pPr>
      <w:r>
        <w:rPr>
          <w:rFonts w:ascii="Arial" w:cs="Arial" w:eastAsia="Arial" w:hAnsi="Arial"/>
          <w:sz w:val="15"/>
          <w:szCs w:val="15"/>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Exchange Act is</w:t>
      </w:r>
    </w:p>
    <w:p>
      <w:pPr>
        <w:spacing w:after="0" w:line="3" w:lineRule="exact"/>
        <w:rPr>
          <w:sz w:val="20"/>
          <w:szCs w:val="20"/>
          <w:color w:val="auto"/>
        </w:rPr>
      </w:pPr>
    </w:p>
    <w:p>
      <w:pPr>
        <w:ind w:right="600" w:firstLine="8"/>
        <w:spacing w:after="0" w:line="255"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Security and Exchange Commission's rules and forms, and (ii) accumulated and communicated to management, including the chief executive officer and chief financial officer, as appropriate, to allow timely decisions regarding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8"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8"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October 31, 2010, based on the criteria set forth by the Committee of Sponsoring Organizations of the Treadway Commission in "Internal Control - Integrated Framework." Management, under the supervision and with the participation of the Company's chief executive officer and chief financial officer, assessed that the Company's internal control over financial reporting was effective as of October 31, 2010.</w:t>
      </w:r>
    </w:p>
    <w:p>
      <w:pPr>
        <w:spacing w:after="0" w:line="224"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31, 2010, as stated in their attestation report on page 33 of this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The information as to Directors required by Item 401, 405 and 407(c)(3)(d)(4) and (d)(5) of Regulation S-K is set forth in the Company's 2011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paragraph three under the caption "MEETINGS AND COMMITTEES OF THE BOARD," and is incorporated in this report by reference. The information as to Executive Officers is included in the Company's 2011 definitive Proxy Statement under the caption "EXECUTIVE OFFICERS" and is incorporated in this report by reference.</w:t>
      </w:r>
    </w:p>
    <w:p>
      <w:pPr>
        <w:spacing w:after="0" w:line="225"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vice president general counsel of Photronics, Inc. at 15 Secor Road, Brookfield, Connecticut 06804.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8"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2011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SHAREHOLDER MATTERS</w:t>
      </w:r>
    </w:p>
    <w:p>
      <w:pPr>
        <w:spacing w:after="0" w:line="254" w:lineRule="exact"/>
        <w:rPr>
          <w:sz w:val="20"/>
          <w:szCs w:val="20"/>
          <w:color w:val="auto"/>
        </w:rPr>
      </w:pPr>
    </w:p>
    <w:p>
      <w:pPr>
        <w:ind w:right="160" w:firstLine="220"/>
        <w:spacing w:after="0" w:line="332" w:lineRule="auto"/>
        <w:rPr>
          <w:sz w:val="20"/>
          <w:szCs w:val="20"/>
          <w:color w:val="auto"/>
        </w:rPr>
      </w:pPr>
      <w:r>
        <w:rPr>
          <w:rFonts w:ascii="Arial" w:cs="Arial" w:eastAsia="Arial" w:hAnsi="Arial"/>
          <w:sz w:val="16"/>
          <w:szCs w:val="16"/>
          <w:color w:val="auto"/>
        </w:rPr>
        <w:t>The information required by Item 403 of Regulation S-K is set forth in the Company's 2011 definitive Proxy Statement under the caption "OWNERSHIP OF COMMON STOCK BY DIRECTORS, OFFICERS AND CERTAIN BENEFICIAL OWNERS", and is incorporated in this report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8"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2011 definitive Proxy Statement under the captions "MEETINGS AND COMMITTEES OF THE BOARD" and "CERTAIN RELATIONSHIPS AND RELATED TRANSACTIONS", respectively, and is incorporated in this report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8" w:lineRule="exact"/>
        <w:rPr>
          <w:sz w:val="20"/>
          <w:szCs w:val="20"/>
          <w:color w:val="auto"/>
        </w:rPr>
      </w:pPr>
    </w:p>
    <w:p>
      <w:pPr>
        <w:ind w:right="100" w:firstLine="270"/>
        <w:spacing w:after="0" w:line="332" w:lineRule="auto"/>
        <w:rPr>
          <w:sz w:val="20"/>
          <w:szCs w:val="20"/>
          <w:color w:val="auto"/>
        </w:rPr>
      </w:pPr>
      <w:r>
        <w:rPr>
          <w:rFonts w:ascii="Arial" w:cs="Arial" w:eastAsia="Arial" w:hAnsi="Arial"/>
          <w:sz w:val="16"/>
          <w:szCs w:val="16"/>
          <w:color w:val="auto"/>
        </w:rPr>
        <w:t>The information required by Item 9(e) of Rule 14a-101 of the Exchange Act is set forth in the Company's 2011 definitive Proxy Statement under the captions "FEES PAID TO THE INDEPENDENT AUDITORS" and "AUDIT COMMITTEE REPORT," and is incorporated in this report by reference.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10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52"/>
        </w:trPr>
        <w:tc>
          <w:tcPr>
            <w:tcW w:w="280" w:type="dxa"/>
            <w:vAlign w:val="bottom"/>
            <w:tcBorders>
              <w:bottom w:val="single" w:sz="8" w:color="C0C0C0"/>
            </w:tcBorders>
          </w:tcPr>
          <w:p>
            <w:pPr>
              <w:spacing w:after="0"/>
              <w:rPr>
                <w:sz w:val="21"/>
                <w:szCs w:val="21"/>
                <w:color w:val="auto"/>
              </w:rPr>
            </w:pPr>
          </w:p>
        </w:tc>
        <w:tc>
          <w:tcPr>
            <w:tcW w:w="10780" w:type="dxa"/>
            <w:vAlign w:val="bottom"/>
            <w:tcBorders>
              <w:bottom w:val="single" w:sz="8" w:color="C0C0C0"/>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No.</w:t>
            </w:r>
          </w:p>
        </w:tc>
      </w:tr>
      <w:tr>
        <w:trPr>
          <w:trHeight w:val="243"/>
        </w:trPr>
        <w:tc>
          <w:tcPr>
            <w:tcW w:w="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1.</w:t>
            </w: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Financial Statements: See "INDEX TO CONSOLIDATED FINANCIAL STATEMENTS" in Part II, Item 8 of this Form 10-K.</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80" w:type="dxa"/>
            <w:vAlign w:val="bottom"/>
          </w:tcPr>
          <w:p>
            <w:pPr>
              <w:spacing w:after="0"/>
              <w:rPr>
                <w:sz w:val="21"/>
                <w:szCs w:val="21"/>
                <w:color w:val="auto"/>
              </w:rPr>
            </w:pPr>
          </w:p>
        </w:tc>
        <w:tc>
          <w:tcPr>
            <w:tcW w:w="107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2.</w:t>
            </w: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Financial Statement Schedules:</w:t>
            </w:r>
          </w:p>
        </w:tc>
        <w:tc>
          <w:tcPr>
            <w:tcW w:w="360" w:type="dxa"/>
            <w:vAlign w:val="bottom"/>
            <w:shd w:val="clear" w:color="auto" w:fill="C0C0C0"/>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07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28"/>
        </w:trPr>
        <w:tc>
          <w:tcPr>
            <w:tcW w:w="280" w:type="dxa"/>
            <w:vAlign w:val="bottom"/>
            <w:shd w:val="clear" w:color="auto" w:fill="C0C0C0"/>
          </w:tcPr>
          <w:p>
            <w:pPr>
              <w:spacing w:after="0"/>
              <w:rPr>
                <w:sz w:val="19"/>
                <w:szCs w:val="19"/>
                <w:color w:val="auto"/>
              </w:rPr>
            </w:pP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w w:val="92"/>
              </w:rPr>
              <w:t>Report of Independent Registered Public Accounting Firm on Financial Statement Schedule for the years ended October 31, 2010, November 1,</w:t>
            </w:r>
          </w:p>
        </w:tc>
        <w:tc>
          <w:tcPr>
            <w:tcW w:w="360" w:type="dxa"/>
            <w:vAlign w:val="bottom"/>
            <w:shd w:val="clear" w:color="auto" w:fill="C0C0C0"/>
          </w:tcPr>
          <w:p>
            <w:pPr>
              <w:spacing w:after="0"/>
              <w:rPr>
                <w:sz w:val="19"/>
                <w:szCs w:val="19"/>
                <w:color w:val="auto"/>
              </w:rPr>
            </w:pPr>
          </w:p>
        </w:tc>
      </w:tr>
      <w:tr>
        <w:trPr>
          <w:trHeight w:val="259"/>
        </w:trPr>
        <w:tc>
          <w:tcPr>
            <w:tcW w:w="280" w:type="dxa"/>
            <w:vAlign w:val="bottom"/>
            <w:shd w:val="clear" w:color="auto" w:fill="C0C0C0"/>
          </w:tcPr>
          <w:p>
            <w:pPr>
              <w:spacing w:after="0"/>
              <w:rPr>
                <w:sz w:val="22"/>
                <w:szCs w:val="22"/>
                <w:color w:val="auto"/>
              </w:rPr>
            </w:pP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2009 and November 2, 2008</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280" w:type="dxa"/>
            <w:vAlign w:val="bottom"/>
          </w:tcPr>
          <w:p>
            <w:pPr>
              <w:spacing w:after="0"/>
              <w:rPr>
                <w:sz w:val="21"/>
                <w:szCs w:val="21"/>
                <w:color w:val="auto"/>
              </w:rPr>
            </w:pPr>
          </w:p>
        </w:tc>
        <w:tc>
          <w:tcPr>
            <w:tcW w:w="107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280" w:type="dxa"/>
            <w:vAlign w:val="bottom"/>
            <w:shd w:val="clear" w:color="auto" w:fill="C0C0C0"/>
          </w:tcPr>
          <w:p>
            <w:pPr>
              <w:spacing w:after="0"/>
              <w:rPr>
                <w:sz w:val="21"/>
                <w:szCs w:val="21"/>
                <w:color w:val="auto"/>
              </w:rPr>
            </w:pP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Schedule II - Valuation and Qualifying Accounts for the years ended October 31, 2010, November 1, 2009 and November 2, 2008</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80" w:type="dxa"/>
            <w:vAlign w:val="bottom"/>
          </w:tcPr>
          <w:p>
            <w:pPr>
              <w:spacing w:after="0"/>
              <w:rPr>
                <w:sz w:val="21"/>
                <w:szCs w:val="21"/>
                <w:color w:val="auto"/>
              </w:rPr>
            </w:pPr>
          </w:p>
        </w:tc>
        <w:tc>
          <w:tcPr>
            <w:tcW w:w="107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280" w:type="dxa"/>
            <w:vAlign w:val="bottom"/>
            <w:shd w:val="clear" w:color="auto" w:fill="C0C0C0"/>
          </w:tcPr>
          <w:p>
            <w:pPr>
              <w:spacing w:after="0"/>
              <w:rPr>
                <w:sz w:val="21"/>
                <w:szCs w:val="21"/>
                <w:color w:val="auto"/>
              </w:rPr>
            </w:pP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All other schedules are omitted because they are not applicable.</w:t>
            </w:r>
          </w:p>
        </w:tc>
        <w:tc>
          <w:tcPr>
            <w:tcW w:w="360" w:type="dxa"/>
            <w:vAlign w:val="bottom"/>
            <w:shd w:val="clear" w:color="auto" w:fill="C0C0C0"/>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07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79"/>
              </w:rPr>
              <w:t>3.</w:t>
            </w:r>
          </w:p>
        </w:tc>
        <w:tc>
          <w:tcPr>
            <w:tcW w:w="107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Financial Statement Schedule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19" w:lineRule="exact"/>
        <w:rPr>
          <w:sz w:val="20"/>
          <w:szCs w:val="20"/>
          <w:color w:val="auto"/>
        </w:rPr>
      </w:pPr>
    </w:p>
    <w:p>
      <w:pPr>
        <w:ind w:right="120" w:firstLine="220"/>
        <w:spacing w:after="0" w:line="289" w:lineRule="auto"/>
        <w:rPr>
          <w:sz w:val="20"/>
          <w:szCs w:val="20"/>
          <w:color w:val="auto"/>
        </w:rPr>
      </w:pPr>
      <w:r>
        <w:rPr>
          <w:rFonts w:ascii="Arial" w:cs="Arial" w:eastAsia="Arial" w:hAnsi="Arial"/>
          <w:sz w:val="16"/>
          <w:szCs w:val="16"/>
          <w:color w:val="auto"/>
        </w:rPr>
        <w:t>We have audited the consolidated financial statements of Photronics, Inc. and subsidiaries (the "Company") as of October 31, 2010 and November 1, 2009, and for each of the three fiscal years ended October 31, 2010, November 1, 2009 and November 2, 2008, and the Company's internal control over financial reporting as of October 31, 2010, and have issued our report thereon dated January 14, 2011 (which report expresses an unqualified opinion and includes an explanatory paragraph concerning the adoption of new accounting standards for noncontrolling interests as set forth in Consolidation Topic No. 810 of the Accounting Standards Codification); such report is included elsewhere in this Form 10-K. Our audits also included the consolidated financial statement schedule of the Company listed in Item 15. This consolidated financial statement schedule is the responsibility of the Company's management. Our responsibility is t 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8"/>
                <w:szCs w:val="18"/>
                <w:b w:val="1"/>
                <w:bCs w:val="1"/>
                <w:color w:val="auto"/>
                <w:w w:val="90"/>
              </w:rPr>
              <w:t>Schedule II</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jc w:val="center"/>
              <w:ind w:right="172"/>
              <w:spacing w:after="0"/>
              <w:rPr>
                <w:sz w:val="20"/>
                <w:szCs w:val="20"/>
                <w:color w:val="auto"/>
              </w:rPr>
            </w:pPr>
            <w:r>
              <w:rPr>
                <w:rFonts w:ascii="Arial" w:cs="Arial" w:eastAsia="Arial" w:hAnsi="Arial"/>
                <w:sz w:val="18"/>
                <w:szCs w:val="18"/>
                <w:b w:val="1"/>
                <w:bCs w:val="1"/>
                <w:color w:val="auto"/>
                <w:w w:val="87"/>
              </w:rPr>
              <w:t>Valuation and Qualifying Accounts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60" w:type="dxa"/>
            <w:vAlign w:val="bottom"/>
            <w:gridSpan w:val="11"/>
          </w:tcPr>
          <w:p>
            <w:pPr>
              <w:jc w:val="center"/>
              <w:ind w:right="112"/>
              <w:spacing w:after="0"/>
              <w:rPr>
                <w:sz w:val="20"/>
                <w:szCs w:val="20"/>
                <w:color w:val="auto"/>
              </w:rPr>
            </w:pPr>
            <w:r>
              <w:rPr>
                <w:rFonts w:ascii="Arial" w:cs="Arial" w:eastAsia="Arial" w:hAnsi="Arial"/>
                <w:sz w:val="18"/>
                <w:szCs w:val="18"/>
                <w:b w:val="1"/>
                <w:bCs w:val="1"/>
                <w:color w:val="auto"/>
                <w:w w:val="88"/>
              </w:rPr>
              <w:t>for the Years Ended October 31, 2010, November 1, 2009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4"/>
          </w:tcPr>
          <w:p>
            <w:pPr>
              <w:jc w:val="center"/>
              <w:ind w:right="152"/>
              <w:spacing w:after="0"/>
              <w:rPr>
                <w:sz w:val="20"/>
                <w:szCs w:val="20"/>
                <w:color w:val="auto"/>
              </w:rPr>
            </w:pPr>
            <w:r>
              <w:rPr>
                <w:rFonts w:ascii="Arial" w:cs="Arial" w:eastAsia="Arial" w:hAnsi="Arial"/>
                <w:sz w:val="18"/>
                <w:szCs w:val="18"/>
                <w:b w:val="1"/>
                <w:bCs w:val="1"/>
                <w:color w:val="auto"/>
                <w:w w:val="88"/>
              </w:rPr>
              <w:t>and November 2, 2008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4"/>
          </w:tcPr>
          <w:p>
            <w:pPr>
              <w:jc w:val="center"/>
              <w:ind w:right="172"/>
              <w:spacing w:after="0"/>
              <w:rPr>
                <w:sz w:val="20"/>
                <w:szCs w:val="20"/>
                <w:color w:val="auto"/>
              </w:rPr>
            </w:pPr>
            <w:r>
              <w:rPr>
                <w:rFonts w:ascii="Arial" w:cs="Arial" w:eastAsia="Arial" w:hAnsi="Arial"/>
                <w:sz w:val="18"/>
                <w:szCs w:val="18"/>
                <w:b w:val="1"/>
                <w:bCs w:val="1"/>
                <w:color w:val="auto"/>
                <w:w w:val="85"/>
              </w:rPr>
              <w:t>(in thousands)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Charge to</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3"/>
          </w:tcPr>
          <w:p>
            <w:pPr>
              <w:jc w:val="center"/>
              <w:ind w:left="192"/>
              <w:spacing w:after="0"/>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640" w:type="dxa"/>
            <w:vAlign w:val="bottom"/>
            <w:gridSpan w:val="4"/>
          </w:tcPr>
          <w:p>
            <w:pPr>
              <w:ind w:left="1560"/>
              <w:spacing w:after="0"/>
              <w:rPr>
                <w:sz w:val="20"/>
                <w:szCs w:val="20"/>
                <w:color w:val="auto"/>
              </w:rPr>
            </w:pPr>
            <w:r>
              <w:rPr>
                <w:rFonts w:ascii="Arial" w:cs="Arial" w:eastAsia="Arial" w:hAnsi="Arial"/>
                <w:sz w:val="18"/>
                <w:szCs w:val="18"/>
                <w:b w:val="1"/>
                <w:bCs w:val="1"/>
                <w:color w:val="auto"/>
                <w:w w:val="96"/>
              </w:rPr>
              <w:t>Beginning of</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Costs and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Expenses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w w:val="85"/>
              </w:rPr>
              <w:t>Deductions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Year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5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3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1"/>
                <w:szCs w:val="21"/>
                <w:color w:val="auto"/>
              </w:rPr>
            </w:pPr>
          </w:p>
        </w:tc>
        <w:tc>
          <w:tcPr>
            <w:tcW w:w="110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0C0C0"/>
          </w:tcPr>
          <w:p>
            <w:pPr>
              <w:spacing w:after="0"/>
              <w:rPr>
                <w:sz w:val="20"/>
                <w:szCs w:val="20"/>
                <w:color w:val="auto"/>
              </w:rPr>
            </w:pPr>
            <w:r>
              <w:rPr>
                <w:rFonts w:ascii="Arial" w:cs="Arial" w:eastAsia="Arial" w:hAnsi="Arial"/>
                <w:sz w:val="18"/>
                <w:szCs w:val="18"/>
                <w:color w:val="auto"/>
              </w:rPr>
              <w:t>Year ended October 31, 2010</w:t>
            </w:r>
          </w:p>
        </w:tc>
        <w:tc>
          <w:tcPr>
            <w:tcW w:w="176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2,669</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1,975</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0C0C0"/>
          </w:tcPr>
          <w:p>
            <w:pPr>
              <w:jc w:val="right"/>
              <w:ind w:right="40"/>
              <w:spacing w:after="0"/>
              <w:rPr>
                <w:sz w:val="20"/>
                <w:szCs w:val="20"/>
                <w:color w:val="auto"/>
              </w:rPr>
            </w:pPr>
            <w:r>
              <w:rPr>
                <w:rFonts w:ascii="Arial" w:cs="Arial" w:eastAsia="Arial" w:hAnsi="Arial"/>
                <w:sz w:val="18"/>
                <w:szCs w:val="18"/>
                <w:color w:val="auto"/>
              </w:rPr>
              <w:t>(409) (a) $</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35"/>
        </w:trPr>
        <w:tc>
          <w:tcPr>
            <w:tcW w:w="4600" w:type="dxa"/>
            <w:vAlign w:val="bottom"/>
            <w:gridSpan w:val="2"/>
          </w:tcPr>
          <w:p>
            <w:pPr>
              <w:spacing w:after="0"/>
              <w:rPr>
                <w:sz w:val="20"/>
                <w:szCs w:val="20"/>
                <w:color w:val="auto"/>
              </w:rPr>
            </w:pPr>
            <w:r>
              <w:rPr>
                <w:rFonts w:ascii="Arial" w:cs="Arial" w:eastAsia="Arial" w:hAnsi="Arial"/>
                <w:sz w:val="18"/>
                <w:szCs w:val="18"/>
                <w:color w:val="auto"/>
              </w:rPr>
              <w:t>Year ended November 1, 2009</w:t>
            </w:r>
          </w:p>
        </w:tc>
        <w:tc>
          <w:tcPr>
            <w:tcW w:w="17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(657) (a) $</w:t>
            </w:r>
          </w:p>
        </w:tc>
        <w:tc>
          <w:tcPr>
            <w:tcW w:w="660" w:type="dxa"/>
            <w:vAlign w:val="bottom"/>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80" w:type="dxa"/>
            <w:vAlign w:val="bottom"/>
            <w:shd w:val="clear" w:color="auto" w:fill="C0C0C0"/>
          </w:tcPr>
          <w:p>
            <w:pPr>
              <w:spacing w:after="0"/>
              <w:rPr>
                <w:sz w:val="20"/>
                <w:szCs w:val="20"/>
                <w:color w:val="auto"/>
              </w:rPr>
            </w:pPr>
            <w:r>
              <w:rPr>
                <w:rFonts w:ascii="Arial" w:cs="Arial" w:eastAsia="Arial" w:hAnsi="Arial"/>
                <w:sz w:val="18"/>
                <w:szCs w:val="18"/>
                <w:color w:val="auto"/>
              </w:rPr>
              <w:t>Year ended November 2, 2008</w:t>
            </w:r>
          </w:p>
        </w:tc>
        <w:tc>
          <w:tcPr>
            <w:tcW w:w="176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3,721</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(481)</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0C0C0"/>
          </w:tcPr>
          <w:p>
            <w:pPr>
              <w:jc w:val="right"/>
              <w:ind w:right="40"/>
              <w:spacing w:after="0"/>
              <w:rPr>
                <w:sz w:val="20"/>
                <w:szCs w:val="20"/>
                <w:color w:val="auto"/>
              </w:rPr>
            </w:pPr>
            <w:r>
              <w:rPr>
                <w:rFonts w:ascii="Arial" w:cs="Arial" w:eastAsia="Arial" w:hAnsi="Arial"/>
                <w:sz w:val="18"/>
                <w:szCs w:val="18"/>
                <w:color w:val="auto"/>
              </w:rPr>
              <w:t>(452) (a) $</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3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0C0C0"/>
          </w:tcPr>
          <w:p>
            <w:pPr>
              <w:spacing w:after="0"/>
              <w:rPr>
                <w:sz w:val="20"/>
                <w:szCs w:val="20"/>
                <w:color w:val="auto"/>
              </w:rPr>
            </w:pPr>
            <w:r>
              <w:rPr>
                <w:rFonts w:ascii="Arial" w:cs="Arial" w:eastAsia="Arial" w:hAnsi="Arial"/>
                <w:sz w:val="18"/>
                <w:szCs w:val="18"/>
                <w:color w:val="auto"/>
              </w:rPr>
              <w:t>Year ended October 31, 2010</w:t>
            </w:r>
          </w:p>
        </w:tc>
        <w:tc>
          <w:tcPr>
            <w:tcW w:w="176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54,734</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12,976</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0C0C0"/>
          </w:tcPr>
          <w:p>
            <w:pPr>
              <w:jc w:val="right"/>
              <w:ind w:right="40"/>
              <w:spacing w:after="0"/>
              <w:rPr>
                <w:sz w:val="20"/>
                <w:szCs w:val="20"/>
                <w:color w:val="auto"/>
              </w:rPr>
            </w:pPr>
            <w:r>
              <w:rPr>
                <w:rFonts w:ascii="Arial" w:cs="Arial" w:eastAsia="Arial" w:hAnsi="Arial"/>
                <w:sz w:val="18"/>
                <w:szCs w:val="18"/>
                <w:color w:val="auto"/>
              </w:rPr>
              <w:t>(9,565) (b) $</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58,145</w:t>
            </w:r>
          </w:p>
        </w:tc>
        <w:tc>
          <w:tcPr>
            <w:tcW w:w="0" w:type="dxa"/>
            <w:vAlign w:val="bottom"/>
          </w:tcPr>
          <w:p>
            <w:pPr>
              <w:spacing w:after="0"/>
              <w:rPr>
                <w:sz w:val="1"/>
                <w:szCs w:val="1"/>
                <w:color w:val="auto"/>
              </w:rPr>
            </w:pPr>
          </w:p>
        </w:tc>
      </w:tr>
      <w:tr>
        <w:trPr>
          <w:trHeight w:val="235"/>
        </w:trPr>
        <w:tc>
          <w:tcPr>
            <w:tcW w:w="4600" w:type="dxa"/>
            <w:vAlign w:val="bottom"/>
            <w:gridSpan w:val="2"/>
          </w:tcPr>
          <w:p>
            <w:pPr>
              <w:spacing w:after="0"/>
              <w:rPr>
                <w:sz w:val="20"/>
                <w:szCs w:val="20"/>
                <w:color w:val="auto"/>
              </w:rPr>
            </w:pPr>
            <w:r>
              <w:rPr>
                <w:rFonts w:ascii="Arial" w:cs="Arial" w:eastAsia="Arial" w:hAnsi="Arial"/>
                <w:sz w:val="18"/>
                <w:szCs w:val="18"/>
                <w:color w:val="auto"/>
              </w:rPr>
              <w:t>Year ended November 1, 2009</w:t>
            </w:r>
          </w:p>
        </w:tc>
        <w:tc>
          <w:tcPr>
            <w:tcW w:w="17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48,149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6,585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54,734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80" w:type="dxa"/>
            <w:vAlign w:val="bottom"/>
            <w:shd w:val="clear" w:color="auto" w:fill="C0C0C0"/>
          </w:tcPr>
          <w:p>
            <w:pPr>
              <w:spacing w:after="0"/>
              <w:rPr>
                <w:sz w:val="20"/>
                <w:szCs w:val="20"/>
                <w:color w:val="auto"/>
              </w:rPr>
            </w:pPr>
            <w:r>
              <w:rPr>
                <w:rFonts w:ascii="Arial" w:cs="Arial" w:eastAsia="Arial" w:hAnsi="Arial"/>
                <w:sz w:val="18"/>
                <w:szCs w:val="18"/>
                <w:color w:val="auto"/>
              </w:rPr>
              <w:t>Year ended November 2, 2008</w:t>
            </w:r>
          </w:p>
        </w:tc>
        <w:tc>
          <w:tcPr>
            <w:tcW w:w="176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39,392</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8,757</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48,149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Uncollectible accounts written off</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Mainly due to reversal of valuation allowance for Shanghai, China facility closure and impact of reduced income tax rates in Taiwan.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20" w:type="dxa"/>
            <w:vAlign w:val="bottom"/>
          </w:tcPr>
          <w:p>
            <w:pPr>
              <w:ind w:left="3180"/>
              <w:spacing w:after="0"/>
              <w:rPr>
                <w:sz w:val="20"/>
                <w:szCs w:val="20"/>
                <w:color w:val="auto"/>
              </w:rPr>
            </w:pPr>
            <w:r>
              <w:rPr>
                <w:rFonts w:ascii="Arial" w:cs="Arial" w:eastAsia="Arial" w:hAnsi="Arial"/>
                <w:sz w:val="18"/>
                <w:szCs w:val="18"/>
                <w:b w:val="1"/>
                <w:bCs w:val="1"/>
                <w:color w:val="auto"/>
              </w:rPr>
              <w:t>EXHIBITS INDEX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1"/>
              </w:rPr>
              <w:t>Number</w:t>
            </w:r>
          </w:p>
        </w:tc>
        <w:tc>
          <w:tcPr>
            <w:tcW w:w="1078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0C0C0"/>
          </w:tcPr>
          <w:p>
            <w:pPr>
              <w:spacing w:after="0"/>
              <w:rPr>
                <w:sz w:val="18"/>
                <w:szCs w:val="18"/>
                <w:color w:val="auto"/>
              </w:rPr>
            </w:pPr>
          </w:p>
        </w:tc>
        <w:tc>
          <w:tcPr>
            <w:tcW w:w="1050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4"/>
              </w:rPr>
              <w:t>Certificate of Incorporation as amended July 9, 1986, April 9, 1990, March 16, 1995, November 13, 1997, April 15, 2002 and June 20, 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99"/>
              </w:rPr>
              <w:t>(incorporated by reference to Exhibit 3.1 to the Company's Annual Report on Form 10-K for the fiscal year ended October 28, 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107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3.2</w:t>
            </w: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90"/>
              </w:rPr>
              <w:t>By-laws of the Company, (incorporated by reference to Exhibit 3.2 to the Company's Registration Statement on Form S-1, File Number 33-11694,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which was declared effective by the Commission on March 10, 1987).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107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4.1</w:t>
            </w: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94"/>
              </w:rPr>
              <w:t>Form of Indenture between the Company and the Bank of New York, as Trustee (incorporated by reference to Exhibit 4.1 to the Company’s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Registration Statement on Form S-3 File Number 333-160235 which was filed on June 25,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107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4.2</w:t>
            </w: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90"/>
              </w:rPr>
              <w:t>Indenture dated September 16, 2009 between the Company and the Bank of New York, as Trustee (incorporated by reference to Exhibit 4.1 to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Company’s Current Report on Form 8K filed September 17, 2009 (Commission File Number 0-15451)).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107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4.3</w:t>
            </w: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92"/>
              </w:rPr>
              <w:t>Supplement to Indenture dated September 16, 2009 between the Company and the Bank of New York, as Trustee relating the issuance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95"/>
              </w:rPr>
              <w:t>Company’s 5.5% Convertible Notes due 2014 (incorporated by reference to Exhibit 4.2 to the Company’s Current Report on Form 8K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September 17, 2009 (Commission File Number 0-15451)).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107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4.4</w:t>
            </w:r>
          </w:p>
        </w:tc>
        <w:tc>
          <w:tcPr>
            <w:tcW w:w="10780" w:type="dxa"/>
            <w:vAlign w:val="bottom"/>
            <w:tcBorders>
              <w:bottom w:val="single" w:sz="8" w:color="C0C0C0"/>
            </w:tcBorders>
            <w:gridSpan w:val="3"/>
            <w:shd w:val="clear" w:color="auto" w:fill="C0C0C0"/>
          </w:tcPr>
          <w:p>
            <w:pPr>
              <w:ind w:left="280"/>
              <w:spacing w:after="0"/>
              <w:rPr>
                <w:sz w:val="20"/>
                <w:szCs w:val="20"/>
                <w:color w:val="auto"/>
              </w:rPr>
            </w:pPr>
            <w:r>
              <w:rPr>
                <w:rFonts w:ascii="Arial" w:cs="Arial" w:eastAsia="Arial" w:hAnsi="Arial"/>
                <w:sz w:val="18"/>
                <w:szCs w:val="18"/>
                <w:color w:val="auto"/>
                <w:w w:val="95"/>
              </w:rPr>
              <w:t>The Company will furnish to the Commission upon request any other debt instrument referred to in Item 601(b)(4)(iii)(A) of Regulation S-K.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0" w:type="dxa"/>
            <w:vAlign w:val="bottom"/>
          </w:tcPr>
          <w:p>
            <w:pPr>
              <w:spacing w:after="0"/>
              <w:rPr>
                <w:sz w:val="21"/>
                <w:szCs w:val="21"/>
                <w:color w:val="auto"/>
              </w:rPr>
            </w:pPr>
          </w:p>
        </w:tc>
        <w:tc>
          <w:tcPr>
            <w:tcW w:w="107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0" w:type="dxa"/>
            <w:vAlign w:val="bottom"/>
            <w:shd w:val="clear" w:color="auto" w:fill="C0C0C0"/>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w w:val="89"/>
              </w:rPr>
              <w:t>Master Service Agreement dated January 11, 2002 between the Company and RagingWire Telecommunications, Inc. (incorporated by reference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78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Exhibit 10.1 to the Company's Annual Report on Form 10-K for the fiscal year ended November 1,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780" w:type="dxa"/>
            <w:vAlign w:val="bottom"/>
            <w:gridSpan w:val="3"/>
          </w:tcPr>
          <w:p>
            <w:pPr>
              <w:ind w:left="498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9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72" w:name="page73"/>
    <w:bookmarkEnd w:id="72"/>
    <w:p>
      <w:pPr>
        <w:ind w:left="680" w:right="60" w:hanging="674"/>
        <w:spacing w:after="0" w:line="259"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Underwriting Agreement between the Company and Morgan Stanley &amp; Co. Incorporated dated September 10, 2009 relating to the issuance of the Company’s 5.5% Convertible Notes due 2014 (incorporated by reference to Exhibit 10.1 to the Company’s Current Report on Form 8K filed September 11, 2009 (Commission File Number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1"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Underwriting Agreement between the Company and Morgan Stanley &amp; Co. Incorporated dated September 10, 2009 relating to the issuance of 9,638,554 shares of common stock (incorporated by reference to Exhibit 10.2 to the Company’s Current Report on Form 8K filed September 11, 2009 (Commission File Number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1" w:lineRule="exact"/>
        <w:rPr>
          <w:sz w:val="20"/>
          <w:szCs w:val="20"/>
          <w:color w:val="auto"/>
        </w:rPr>
      </w:pPr>
    </w:p>
    <w:p>
      <w:pPr>
        <w:ind w:left="680" w:right="320" w:hanging="674"/>
        <w:spacing w:after="0" w:line="268"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Warrant Agreement between the Company and Intel Capital Corporation dated September 10, 2009 (incorporated by reference to Exhibit 10.3 to the Company’s Current Report on Form 8K filed September 11, 2009 (Commission File Number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3" w:lineRule="exact"/>
        <w:rPr>
          <w:sz w:val="20"/>
          <w:szCs w:val="20"/>
          <w:color w:val="auto"/>
        </w:rPr>
      </w:pPr>
    </w:p>
    <w:p>
      <w:pPr>
        <w:ind w:left="680" w:right="320" w:hanging="674"/>
        <w:spacing w:after="0" w:line="268"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Warrant Agreement between the Company and Intel Capital Corporation dated September 10, 2009 (incorporated by reference to Exhibit 10.4 to the Company’s Current Report on Form 8K filed September 11, 2009 (Commission File Number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3" w:lineRule="exact"/>
        <w:rPr>
          <w:sz w:val="20"/>
          <w:szCs w:val="20"/>
          <w:color w:val="auto"/>
        </w:rPr>
      </w:pPr>
    </w:p>
    <w:p>
      <w:pPr>
        <w:ind w:left="680" w:hanging="674"/>
        <w:spacing w:after="0" w:line="283"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The Company’s 1992 Employee Stock Purchase Plan (incorporated by reference to Exhibit 10.24 to the Company’s Registration Statement on Form S-8, File Number 33-47446 which was filed April 24, 1994).</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Amendment to the Employee Stock Purchase Plan as of March 24, 2004*</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9" w:lineRule="exact"/>
        <w:rPr>
          <w:sz w:val="20"/>
          <w:szCs w:val="20"/>
          <w:color w:val="auto"/>
        </w:rPr>
      </w:pPr>
    </w:p>
    <w:p>
      <w:pPr>
        <w:ind w:left="680" w:right="20" w:hanging="674"/>
        <w:spacing w:after="0" w:line="283" w:lineRule="auto"/>
        <w:tabs>
          <w:tab w:leader="none" w:pos="6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to the Employee Stock Purchase Plan as of April 8, 2010 (incorporated by reference to Exhibit 10.42 to the Company's Quarterly Report on Form 10-Q filed on June 10, 2010).</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20" w:hanging="674"/>
        <w:spacing w:after="0" w:line="283" w:lineRule="auto"/>
        <w:tabs>
          <w:tab w:leader="none" w:pos="6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The Company’s 2007 Long-Term Equity Incentive Plan (incorporated by reference to Exhibit 4.1 to the Company's Registration Statement on Form S-8, Registration No. 333).</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200" w:hanging="674"/>
        <w:spacing w:after="0" w:line="283" w:lineRule="auto"/>
        <w:tabs>
          <w:tab w:leader="none" w:pos="6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Amendment to the 2007 Long Term Equity Incentive Plan as of April 8, 2010 (incorporated by reference to Exhibit 10.43 to the Company's Quarterly Report on Form 10-Q filed on June 10, 2010).</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380" w:hanging="674"/>
        <w:spacing w:after="0" w:line="283" w:lineRule="auto"/>
        <w:tabs>
          <w:tab w:leader="none" w:pos="6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Consulting Agreement between the Company and Constantine S. Macricostas, dated July 11, 2005 (incorporated by reference to Exhibit 10.1 to the Company's Current Report on Form 8-K filed July 13, 2005 (Commission File Number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400" w:hanging="674"/>
        <w:spacing w:after="0" w:line="269" w:lineRule="auto"/>
        <w:tabs>
          <w:tab w:leader="none" w:pos="6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No. 1 to the Consulting Agreement between Constantine S. Macricostas and the Company dated November 10, 2008 (incorporated by reference to Exhibit 10.11 to the Company’s Annual Report on Form 10K for the fiscal year ended November 2, 2008 (Commission File No.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98" w:lineRule="exact"/>
        <w:rPr>
          <w:sz w:val="20"/>
          <w:szCs w:val="20"/>
          <w:color w:val="auto"/>
        </w:rPr>
      </w:pPr>
    </w:p>
    <w:p>
      <w:pPr>
        <w:ind w:left="680" w:right="40" w:hanging="674"/>
        <w:spacing w:after="0" w:line="283" w:lineRule="auto"/>
        <w:tabs>
          <w:tab w:leader="none" w:pos="6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Executive Employment Agreement between the Company and Sean T. Smith dated February 20, 2003 (incorporated by reference to Exhibit 10.12 to the Company's Annual Report on Form 10-K for the fiscal year ended November 1, 2009).</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160" w:hanging="674"/>
        <w:spacing w:after="0" w:line="269" w:lineRule="auto"/>
        <w:tabs>
          <w:tab w:leader="none" w:pos="6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Limited Liability Company Operating Agreement of MP Mask Technology Center, LLC between Micron Technology, Inc. ("Micron") and Photronics, Inc. ("Photronics") dated May 5, 2006 (incorporated by reference to Exhibit 10.17 to the Company's Quarterly Report on Form 10-Q filed on June 8, 2006 (Commission File No. 0- 15451)).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98" w:lineRule="exact"/>
        <w:rPr>
          <w:sz w:val="20"/>
          <w:szCs w:val="20"/>
          <w:color w:val="auto"/>
        </w:rPr>
      </w:pPr>
    </w:p>
    <w:p>
      <w:pPr>
        <w:ind w:left="680" w:right="160" w:hanging="674"/>
        <w:spacing w:after="0" w:line="330" w:lineRule="auto"/>
        <w:tabs>
          <w:tab w:leader="none" w:pos="6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Contribution and Units Purchase Agreement between Micron, Photronics and MP Mask Technology Center, LLC ("MP Mask") dated May 5, 2006 (incorporated by reference to Exhibit 10.18 to the Company's Quarterly Report on Form 10-Q filed on June 8, 2006 (Commission File No. 0-15451)).</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4" w:lineRule="exact"/>
        <w:rPr>
          <w:sz w:val="20"/>
          <w:szCs w:val="20"/>
          <w:color w:val="auto"/>
        </w:rPr>
      </w:pPr>
    </w:p>
    <w:p>
      <w:pPr>
        <w:ind w:left="680" w:right="660" w:hanging="674"/>
        <w:spacing w:after="0" w:line="283" w:lineRule="auto"/>
        <w:tabs>
          <w:tab w:leader="none" w:pos="6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Technology License Agreement among Micron, Photronics and MP Mask dated May 5, 2006 (incorporated by reference to Exhibit 10.19 to the Company's Quarterly Report on Form 10-Q filed on June 8, 2006 (Commission File No.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720" w:hanging="674"/>
        <w:spacing w:after="0" w:line="283" w:lineRule="auto"/>
        <w:tabs>
          <w:tab w:leader="none" w:pos="6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Photronics to Micron Supply Agreement between Micron and Photronics dated May 5, 2006 (incorporated by reference to Exhibit 10.21 to the Company's Quarterly Report on Form 10-Q filed on June 8, 2006 (Commission File No.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380" w:hanging="674"/>
        <w:spacing w:after="0" w:line="283" w:lineRule="auto"/>
        <w:tabs>
          <w:tab w:leader="none" w:pos="6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Company to Photronics Supply Agreement between MP Mask and Photronics dated May 5, 2006 (incorporated by reference to Exhibit 10.22 to the Company's Quarterly Report on Form 10-Q filed on June 8, 2006 (Commission File No.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560" w:hanging="674"/>
        <w:spacing w:after="0" w:line="268" w:lineRule="auto"/>
        <w:tabs>
          <w:tab w:leader="none" w:pos="6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Operating Lease Agreement dated May 19, 2009 between the Company and Micron (incorporated by reference to Exhibit 8.02 to the Company’s Current Report on Form 8K filed on July 6, 2009 (Commission File N0.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3" w:name="page74"/>
    <w:bookmarkEnd w:id="73"/>
    <w:p>
      <w:pPr>
        <w:ind w:left="680" w:right="340" w:hanging="674"/>
        <w:spacing w:after="0" w:line="269" w:lineRule="auto"/>
        <w:tabs>
          <w:tab w:leader="none" w:pos="6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Executive Employment Agreement between the Company and Soo Hong Jeong dated August 24, 2001, as amended March 18, 2004, November 28, 2005 and June 9, 2006 (incorporated by reference to Exhibit 10.23 to the Company's Quarterly Report on Form 10-Q filed on September 7, 2006 (Commission File No.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9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Extension of Executive Employment Agreement between the Company and Soo Hong Jeong effective October 29, 2006 and ending on October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2007 (incorporated by reference to Exhibit 1.01 to the Company's Current Report on Form 8-K filed on January 3, 2007 (Commission File No. 0-</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15451)).</w:t>
      </w:r>
      <w:r>
        <w:rPr>
          <w:rFonts w:ascii="Arial" w:cs="Arial" w:eastAsia="Arial" w:hAnsi="Arial"/>
          <w:sz w:val="24"/>
          <w:szCs w:val="24"/>
          <w:color w:val="auto"/>
          <w:vertAlign w:val="superscript"/>
        </w:rPr>
        <w:t>+</w:t>
      </w:r>
    </w:p>
    <w:p>
      <w:pPr>
        <w:spacing w:after="0" w:line="177" w:lineRule="exact"/>
        <w:rPr>
          <w:sz w:val="20"/>
          <w:szCs w:val="20"/>
          <w:color w:val="auto"/>
        </w:rPr>
      </w:pPr>
    </w:p>
    <w:p>
      <w:pPr>
        <w:ind w:left="680" w:hanging="674"/>
        <w:spacing w:after="0" w:line="330" w:lineRule="auto"/>
        <w:tabs>
          <w:tab w:leader="none" w:pos="6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Extension of Executive Employment Agreement between the Company and Soo Hong Jeong effective October 28, 2007 and ending October 27, 2008 (incorporated by reference to Exhibit 1.01 to the Company's Current Report on Form 8-K Filed on November 8, 2007 (Commission File No. 0-15451)).</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4" w:lineRule="exact"/>
        <w:rPr>
          <w:sz w:val="20"/>
          <w:szCs w:val="20"/>
          <w:color w:val="auto"/>
        </w:rPr>
      </w:pPr>
    </w:p>
    <w:p>
      <w:pPr>
        <w:ind w:left="680" w:right="200" w:hanging="674"/>
        <w:spacing w:after="0" w:line="269" w:lineRule="auto"/>
        <w:tabs>
          <w:tab w:leader="none" w:pos="6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Extension of Executive Employment Agreement between the Company and Soo Hong Jeong effective October 28, 2008 and ending October 27, 2009 (incorporated by reference to Exhibit 99.1 to the Company's Current Report on Form 8-K filed on November 17, 2008 (Commission File No. 0-15451)).</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98" w:lineRule="exact"/>
        <w:rPr>
          <w:sz w:val="20"/>
          <w:szCs w:val="20"/>
          <w:color w:val="auto"/>
        </w:rPr>
      </w:pPr>
    </w:p>
    <w:p>
      <w:pPr>
        <w:ind w:left="680" w:right="200" w:hanging="674"/>
        <w:spacing w:after="0" w:line="330" w:lineRule="auto"/>
        <w:tabs>
          <w:tab w:leader="none" w:pos="6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Extension of Executive Employment Agreement between the Company and Soo Hong Jeong effective October 28, 2009 and ending October 27, 2010 (incorporated by reference to Exhibit 10.23 to the Company's Annual Report on Form 10-K for the fiscal year ended November 1, 2009).</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Executive Employment Agreement between the Company and Christopher J. Progler, Vice President, Chief Technology Officer dated September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2007 (incorporated by reference to Exhibit 10.24 to the Company's Annual Report on Form 10-K filed on January 11, 2008 (Commission File No. 0-</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15451)).</w:t>
      </w:r>
      <w:r>
        <w:rPr>
          <w:rFonts w:ascii="Arial" w:cs="Arial" w:eastAsia="Arial" w:hAnsi="Arial"/>
          <w:sz w:val="24"/>
          <w:szCs w:val="24"/>
          <w:color w:val="auto"/>
          <w:vertAlign w:val="superscript"/>
        </w:rPr>
        <w:t>+</w:t>
      </w:r>
    </w:p>
    <w:p>
      <w:pPr>
        <w:spacing w:after="0" w:line="177" w:lineRule="exact"/>
        <w:rPr>
          <w:sz w:val="20"/>
          <w:szCs w:val="20"/>
          <w:color w:val="auto"/>
        </w:rPr>
      </w:pPr>
    </w:p>
    <w:p>
      <w:pPr>
        <w:ind w:left="680" w:right="500" w:hanging="674"/>
        <w:spacing w:after="0" w:line="283" w:lineRule="auto"/>
        <w:tabs>
          <w:tab w:leader="none" w:pos="6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Executive Employment Agreement between the Company and Peter Kirlin dated May 21, 2010 (incorporated by reference to Exhibit 10.42 of the Company's Quarterly Report on Form 10-Q filed on June 10, 2010).</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ind w:left="680" w:right="380" w:hanging="674"/>
        <w:spacing w:after="0" w:line="283" w:lineRule="auto"/>
        <w:tabs>
          <w:tab w:leader="none" w:pos="6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Executive Employment Agreement between the Company and Richelle Burr dated May 21, 2010 (incorporated by reference to Exhibit 10.43 of the Company's Quarterly Report on Form 10-Q filed on June 10, 2010).</w:t>
      </w:r>
      <w:r>
        <w:rPr>
          <w:rFonts w:ascii="Arial" w:cs="Arial" w:eastAsia="Arial" w:hAnsi="Arial"/>
          <w:sz w:val="24"/>
          <w:szCs w:val="2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86" w:lineRule="exact"/>
        <w:rPr>
          <w:sz w:val="20"/>
          <w:szCs w:val="20"/>
          <w:color w:val="auto"/>
        </w:rPr>
      </w:pPr>
    </w:p>
    <w:p>
      <w:pPr>
        <w:jc w:val="both"/>
        <w:ind w:left="680" w:right="80" w:hanging="674"/>
        <w:spacing w:after="0" w:line="268" w:lineRule="auto"/>
        <w:tabs>
          <w:tab w:leader="none" w:pos="6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Credit Agreement dated as of February 12, 2010 (incorporated by reference to Exhibit 99.1 to the Company's Current Report on Form 8-K filed on February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3" w:lineRule="exact"/>
        <w:rPr>
          <w:sz w:val="20"/>
          <w:szCs w:val="20"/>
          <w:color w:val="auto"/>
        </w:rPr>
      </w:pPr>
    </w:p>
    <w:p>
      <w:pPr>
        <w:ind w:left="680" w:right="360" w:hanging="674"/>
        <w:spacing w:after="0" w:line="268" w:lineRule="auto"/>
        <w:tabs>
          <w:tab w:leader="none" w:pos="6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No. 1 to the Credit Agreement dated as of May 7, 2010 (incorporated by reference to Exhibit 99.1 to the Company's Current Report on Form 8-K filed on May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3" w:lineRule="exact"/>
        <w:rPr>
          <w:sz w:val="20"/>
          <w:szCs w:val="20"/>
          <w:color w:val="auto"/>
        </w:rPr>
      </w:pPr>
    </w:p>
    <w:p>
      <w:pPr>
        <w:ind w:left="680" w:right="220" w:hanging="674"/>
        <w:spacing w:after="0" w:line="268" w:lineRule="auto"/>
        <w:tabs>
          <w:tab w:leader="none" w:pos="6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No. 2 to the Credit Agreement dated September 17, 2010 (incorporated by reference to Exhibit 99.1 to the Company's Current Report on Form 8-K filed on September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3" w:lineRule="exact"/>
        <w:rPr>
          <w:sz w:val="20"/>
          <w:szCs w:val="20"/>
          <w:color w:val="auto"/>
        </w:rPr>
      </w:pPr>
    </w:p>
    <w:p>
      <w:pPr>
        <w:jc w:val="both"/>
        <w:ind w:left="680" w:right="100" w:hanging="674"/>
        <w:spacing w:after="0" w:line="259" w:lineRule="auto"/>
        <w:tabs>
          <w:tab w:leader="none" w:pos="6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Security Agreement dated December 12, 2008 by and among the Company, the subsidiaries of the Company listed on the signature page and JPMorgan Chase Bank National Association (incorporated by reference to Exhibit 10.38 to the Company’s Quarterly Report on Form 10Q for the quarterly period ended May 3, 2009 (Commission File Number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1" w:lineRule="exact"/>
        <w:rPr>
          <w:sz w:val="20"/>
          <w:szCs w:val="20"/>
          <w:color w:val="auto"/>
        </w:rPr>
      </w:pPr>
    </w:p>
    <w:p>
      <w:pPr>
        <w:jc w:val="both"/>
        <w:ind w:left="680" w:right="120" w:hanging="674"/>
        <w:spacing w:after="0" w:line="332" w:lineRule="auto"/>
        <w:tabs>
          <w:tab w:leader="none" w:pos="6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Warrant Agreement dated May 15, 2009 by and among the Company and the Purchasers Named Therein (incorporated by reference to Exhibit 10.41 to the Company’s Quarterly Report on Form 10Q for the quarterly period ended May 3, 2009 (Commission File No.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6" w:lineRule="exact"/>
        <w:rPr>
          <w:sz w:val="20"/>
          <w:szCs w:val="20"/>
          <w:color w:val="auto"/>
        </w:rPr>
      </w:pPr>
    </w:p>
    <w:p>
      <w:pPr>
        <w:ind w:left="680" w:right="320" w:hanging="674"/>
        <w:spacing w:after="0" w:line="332" w:lineRule="auto"/>
        <w:tabs>
          <w:tab w:leader="none" w:pos="6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Registration Rights Agreement dated as of May 15, 2009 by and among the Company and the Holders Named Therein (incorporated by reference to Exhibit 10.42 to the Company’s Quarterly Report on Form 10Q for the quarterly period ended May 3, 2009 (Commission File No.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6"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List of Subsidiaries of the Company.*</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of the Securities Exchange Act of 1934, as adopted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302 of the Sarbanes-Oxley Act of 2002.*</w:t>
      </w:r>
    </w:p>
    <w:p>
      <w:pPr>
        <w:spacing w:after="0" w:line="24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of the Securities Exchange Act of 1934, as adopted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302 of the Sarbanes-Oxley Act of 2002.*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4" w:name="page75"/>
    <w:bookmarkEnd w:id="74"/>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27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w:t>
      </w:r>
    </w:p>
    <w:p>
      <w:pPr>
        <w:spacing w:after="0" w:line="30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Represents an exhibit that is filed with this Annual Report on Form 10-K.</w:t>
      </w:r>
    </w:p>
    <w:p>
      <w:pPr>
        <w:spacing w:after="0" w:line="279"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80"/>
          </w:cols>
          <w:pgMar w:left="240" w:top="563" w:right="5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PHOTRONICS, INC.</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spacing w:after="0"/>
        <w:tabs>
          <w:tab w:leader="none" w:pos="380" w:val="left"/>
          <w:tab w:leader="none" w:pos="5000" w:val="left"/>
        </w:tabs>
        <w:rPr>
          <w:sz w:val="20"/>
          <w:szCs w:val="20"/>
          <w:color w:val="auto"/>
        </w:rPr>
      </w:pPr>
      <w:r>
        <w:rPr>
          <w:rFonts w:ascii="Arial" w:cs="Arial" w:eastAsia="Arial" w:hAnsi="Arial"/>
          <w:sz w:val="18"/>
          <w:szCs w:val="18"/>
          <w:color w:val="auto"/>
        </w:rPr>
        <w:t>By</w:t>
        <w:tab/>
        <w:t>/s/ SEAN T. SMITH</w:t>
      </w:r>
      <w:r>
        <w:rPr>
          <w:sz w:val="20"/>
          <w:szCs w:val="20"/>
          <w:color w:val="auto"/>
        </w:rPr>
        <w:tab/>
      </w:r>
      <w:r>
        <w:rPr>
          <w:rFonts w:ascii="Arial" w:cs="Arial" w:eastAsia="Arial" w:hAnsi="Arial"/>
          <w:sz w:val="15"/>
          <w:szCs w:val="15"/>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19685</wp:posOffset>
            </wp:positionV>
            <wp:extent cx="27616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Accounting Officer/</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Financial Officer)</w:t>
      </w:r>
    </w:p>
    <w:p>
      <w:pPr>
        <w:spacing w:after="0" w:line="266"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6700" w:type="dxa"/>
            <w:vAlign w:val="bottom"/>
          </w:tcPr>
          <w:p>
            <w:pPr>
              <w:ind w:left="280"/>
              <w:spacing w:after="0"/>
              <w:rPr>
                <w:sz w:val="20"/>
                <w:szCs w:val="20"/>
                <w:color w:val="auto"/>
              </w:rPr>
            </w:pPr>
            <w:r>
              <w:rPr>
                <w:rFonts w:ascii="Arial" w:cs="Arial" w:eastAsia="Arial" w:hAnsi="Arial"/>
                <w:sz w:val="18"/>
                <w:szCs w:val="18"/>
                <w:color w:val="auto"/>
              </w:rPr>
              <w:t>January 14, 2011</w:t>
            </w:r>
          </w:p>
        </w:tc>
      </w:tr>
      <w:tr>
        <w:trPr>
          <w:trHeight w:val="228"/>
        </w:trPr>
        <w:tc>
          <w:tcPr>
            <w:tcW w:w="4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Constantine S. Macricostas</w:t>
            </w:r>
          </w:p>
        </w:tc>
        <w:tc>
          <w:tcPr>
            <w:tcW w:w="67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Chairman of the Board</w:t>
            </w:r>
          </w:p>
        </w:tc>
        <w:tc>
          <w:tcPr>
            <w:tcW w:w="67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7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700" w:type="dxa"/>
            <w:vAlign w:val="bottom"/>
          </w:tcPr>
          <w:p>
            <w:pPr>
              <w:spacing w:after="0"/>
              <w:rPr>
                <w:sz w:val="21"/>
                <w:szCs w:val="21"/>
                <w:color w:val="auto"/>
              </w:rPr>
            </w:pPr>
          </w:p>
        </w:tc>
      </w:tr>
      <w:tr>
        <w:trPr>
          <w:trHeight w:val="50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T. SMITH</w:t>
            </w:r>
          </w:p>
        </w:tc>
        <w:tc>
          <w:tcPr>
            <w:tcW w:w="6700" w:type="dxa"/>
            <w:vAlign w:val="bottom"/>
          </w:tcPr>
          <w:p>
            <w:pPr>
              <w:ind w:left="280"/>
              <w:spacing w:after="0"/>
              <w:rPr>
                <w:sz w:val="20"/>
                <w:szCs w:val="20"/>
                <w:color w:val="auto"/>
              </w:rPr>
            </w:pPr>
            <w:r>
              <w:rPr>
                <w:rFonts w:ascii="Arial" w:cs="Arial" w:eastAsia="Arial" w:hAnsi="Arial"/>
                <w:sz w:val="18"/>
                <w:szCs w:val="18"/>
                <w:color w:val="auto"/>
              </w:rPr>
              <w:t>January 14, 2011</w:t>
            </w:r>
          </w:p>
        </w:tc>
      </w:tr>
      <w:tr>
        <w:trPr>
          <w:trHeight w:val="228"/>
        </w:trPr>
        <w:tc>
          <w:tcPr>
            <w:tcW w:w="4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Sean T. Smith</w:t>
            </w:r>
          </w:p>
        </w:tc>
        <w:tc>
          <w:tcPr>
            <w:tcW w:w="67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Senior Vice President</w:t>
            </w:r>
          </w:p>
        </w:tc>
        <w:tc>
          <w:tcPr>
            <w:tcW w:w="67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7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67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6700" w:type="dxa"/>
            <w:vAlign w:val="bottom"/>
          </w:tcPr>
          <w:p>
            <w:pPr>
              <w:spacing w:after="0"/>
              <w:rPr>
                <w:sz w:val="21"/>
                <w:szCs w:val="21"/>
                <w:color w:val="auto"/>
              </w:rPr>
            </w:pPr>
          </w:p>
        </w:tc>
      </w:tr>
      <w:tr>
        <w:trPr>
          <w:trHeight w:val="50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6700" w:type="dxa"/>
            <w:vAlign w:val="bottom"/>
          </w:tcPr>
          <w:p>
            <w:pPr>
              <w:ind w:left="280"/>
              <w:spacing w:after="0"/>
              <w:rPr>
                <w:sz w:val="20"/>
                <w:szCs w:val="20"/>
                <w:color w:val="auto"/>
              </w:rPr>
            </w:pPr>
            <w:r>
              <w:rPr>
                <w:rFonts w:ascii="Arial" w:cs="Arial" w:eastAsia="Arial" w:hAnsi="Arial"/>
                <w:sz w:val="18"/>
                <w:szCs w:val="18"/>
                <w:color w:val="auto"/>
              </w:rPr>
              <w:t>January 14, 2011</w:t>
            </w:r>
          </w:p>
        </w:tc>
      </w:tr>
      <w:tr>
        <w:trPr>
          <w:trHeight w:val="228"/>
        </w:trPr>
        <w:tc>
          <w:tcPr>
            <w:tcW w:w="4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Walter M. Fiederowicz</w:t>
            </w:r>
          </w:p>
        </w:tc>
        <w:tc>
          <w:tcPr>
            <w:tcW w:w="67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1"/>
                <w:szCs w:val="21"/>
                <w:color w:val="auto"/>
              </w:rPr>
            </w:pPr>
          </w:p>
        </w:tc>
      </w:tr>
      <w:tr>
        <w:trPr>
          <w:trHeight w:val="50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6700" w:type="dxa"/>
            <w:vAlign w:val="bottom"/>
          </w:tcPr>
          <w:p>
            <w:pPr>
              <w:ind w:left="280"/>
              <w:spacing w:after="0"/>
              <w:rPr>
                <w:sz w:val="20"/>
                <w:szCs w:val="20"/>
                <w:color w:val="auto"/>
              </w:rPr>
            </w:pPr>
            <w:r>
              <w:rPr>
                <w:rFonts w:ascii="Arial" w:cs="Arial" w:eastAsia="Arial" w:hAnsi="Arial"/>
                <w:sz w:val="18"/>
                <w:szCs w:val="18"/>
                <w:color w:val="auto"/>
              </w:rPr>
              <w:t>January 14, 2011</w:t>
            </w:r>
          </w:p>
        </w:tc>
      </w:tr>
      <w:tr>
        <w:trPr>
          <w:trHeight w:val="228"/>
        </w:trPr>
        <w:tc>
          <w:tcPr>
            <w:tcW w:w="4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Joseph A. Fiorita, Jr.</w:t>
            </w:r>
          </w:p>
        </w:tc>
        <w:tc>
          <w:tcPr>
            <w:tcW w:w="67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1"/>
                <w:szCs w:val="21"/>
                <w:color w:val="auto"/>
              </w:rPr>
            </w:pPr>
          </w:p>
        </w:tc>
      </w:tr>
      <w:tr>
        <w:trPr>
          <w:trHeight w:val="50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C. MACRICOSTAS</w:t>
            </w:r>
          </w:p>
        </w:tc>
        <w:tc>
          <w:tcPr>
            <w:tcW w:w="6700" w:type="dxa"/>
            <w:vAlign w:val="bottom"/>
          </w:tcPr>
          <w:p>
            <w:pPr>
              <w:ind w:left="280"/>
              <w:spacing w:after="0"/>
              <w:rPr>
                <w:sz w:val="20"/>
                <w:szCs w:val="20"/>
                <w:color w:val="auto"/>
              </w:rPr>
            </w:pPr>
            <w:r>
              <w:rPr>
                <w:rFonts w:ascii="Arial" w:cs="Arial" w:eastAsia="Arial" w:hAnsi="Arial"/>
                <w:sz w:val="18"/>
                <w:szCs w:val="18"/>
                <w:color w:val="auto"/>
              </w:rPr>
              <w:t>January 14, 2011</w:t>
            </w:r>
          </w:p>
        </w:tc>
      </w:tr>
      <w:tr>
        <w:trPr>
          <w:trHeight w:val="228"/>
        </w:trPr>
        <w:tc>
          <w:tcPr>
            <w:tcW w:w="4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George C. Macricostas</w:t>
            </w:r>
          </w:p>
        </w:tc>
        <w:tc>
          <w:tcPr>
            <w:tcW w:w="67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1"/>
                <w:szCs w:val="21"/>
                <w:color w:val="auto"/>
              </w:rPr>
            </w:pPr>
          </w:p>
        </w:tc>
      </w:tr>
      <w:tr>
        <w:trPr>
          <w:trHeight w:val="50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6700" w:type="dxa"/>
            <w:vAlign w:val="bottom"/>
          </w:tcPr>
          <w:p>
            <w:pPr>
              <w:ind w:left="280"/>
              <w:spacing w:after="0"/>
              <w:rPr>
                <w:sz w:val="20"/>
                <w:szCs w:val="20"/>
                <w:color w:val="auto"/>
              </w:rPr>
            </w:pPr>
            <w:r>
              <w:rPr>
                <w:rFonts w:ascii="Arial" w:cs="Arial" w:eastAsia="Arial" w:hAnsi="Arial"/>
                <w:sz w:val="18"/>
                <w:szCs w:val="18"/>
                <w:color w:val="auto"/>
              </w:rPr>
              <w:t>January 14, 2011</w:t>
            </w:r>
          </w:p>
        </w:tc>
      </w:tr>
      <w:tr>
        <w:trPr>
          <w:trHeight w:val="228"/>
        </w:trPr>
        <w:tc>
          <w:tcPr>
            <w:tcW w:w="4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Mitchell G. Tyson</w:t>
            </w:r>
          </w:p>
        </w:tc>
        <w:tc>
          <w:tcPr>
            <w:tcW w:w="6700" w:type="dxa"/>
            <w:vAlign w:val="bottom"/>
          </w:tcPr>
          <w:p>
            <w:pPr>
              <w:spacing w:after="0"/>
              <w:rPr>
                <w:sz w:val="19"/>
                <w:szCs w:val="19"/>
                <w:color w:val="auto"/>
              </w:rPr>
            </w:pPr>
          </w:p>
        </w:tc>
      </w:tr>
      <w:tr>
        <w:trPr>
          <w:trHeight w:val="243"/>
        </w:trPr>
        <w:tc>
          <w:tcPr>
            <w:tcW w:w="40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c>
          <w:tcPr>
            <w:tcW w:w="6700" w:type="dxa"/>
            <w:vAlign w:val="bottom"/>
          </w:tcPr>
          <w:p>
            <w:pPr>
              <w:spacing w:after="0"/>
              <w:rPr>
                <w:sz w:val="21"/>
                <w:szCs w:val="21"/>
                <w:color w:val="auto"/>
              </w:rPr>
            </w:pPr>
          </w:p>
        </w:tc>
      </w:tr>
      <w:tr>
        <w:trPr>
          <w:trHeight w:val="446"/>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700" w:type="dxa"/>
            <w:vAlign w:val="bottom"/>
          </w:tcPr>
          <w:p>
            <w:pPr>
              <w:ind w:left="880"/>
              <w:spacing w:after="0"/>
              <w:rPr>
                <w:sz w:val="20"/>
                <w:szCs w:val="20"/>
                <w:color w:val="auto"/>
              </w:rPr>
            </w:pPr>
            <w:r>
              <w:rPr>
                <w:rFonts w:ascii="Arial" w:cs="Arial" w:eastAsia="Arial" w:hAnsi="Arial"/>
                <w:sz w:val="18"/>
                <w:szCs w:val="18"/>
                <w:color w:val="auto"/>
              </w:rPr>
              <w:t>74</w:t>
            </w:r>
          </w:p>
        </w:tc>
      </w:tr>
      <w:tr>
        <w:trPr>
          <w:trHeight w:val="323"/>
        </w:trPr>
        <w:tc>
          <w:tcPr>
            <w:tcW w:w="40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STOCK PURCHASE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Current as of March 24, 2004)</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ARTICLE I - </w:t>
      </w:r>
      <w:r>
        <w:rPr>
          <w:rFonts w:ascii="Arial" w:cs="Arial" w:eastAsia="Arial" w:hAnsi="Arial"/>
          <w:sz w:val="18"/>
          <w:szCs w:val="18"/>
          <w:b w:val="1"/>
          <w:bCs w:val="1"/>
          <w:i w:val="1"/>
          <w:iCs w:val="1"/>
          <w:color w:val="auto"/>
        </w:rPr>
        <w:t>General</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1.1 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1.2 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1.3 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ARTICLE II - </w:t>
      </w:r>
      <w:r>
        <w:rPr>
          <w:rFonts w:ascii="Arial" w:cs="Arial" w:eastAsia="Arial" w:hAnsi="Arial"/>
          <w:sz w:val="18"/>
          <w:szCs w:val="18"/>
          <w:b w:val="1"/>
          <w:bCs w:val="1"/>
          <w:i w:val="1"/>
          <w:iCs w:val="1"/>
          <w:color w:val="auto"/>
        </w:rPr>
        <w:t>Definitions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2.1 The following words and phrases, when used in the Plan, shall have the following respective meanings, unless the context clearly indicates otherwise: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Leave of Absence"</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Photronics,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Internal Revenue Code of 1986, as amended from time to time, and applicable Treasury Department regulations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par value $0.01 per share, of the Company, or the securities adjusted or substituted therefor pursuant to Article XIV.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Photronics, Inc., a Connecticut corporation, or its successor or successors or any present or future subsidiary of Photronics, Inc., which may be designated to participate in the Plan by the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Compensation of an Eligible Employee shall be determined in accordance with procedures approved by the Plan Committee or the Board of Directors. In the absence of the adoption of specific procedures, Compensation of an Eligible Employee shall be the annualized salary or wages of such Employee based on such Employee's current rate of pay and work schedule, but excluding any discretionary overtime, sick pay, vacation pay or other benefits.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Disability shall have the same meaning set forth in Section 22(e)(3) of the Code or any successor provision thereto. At present, a disability is defined as a physical or mental impairment or incapacity which, in the opinion of a physician selected by the Plan Committee, can be expected to result in death or has lasted or can be expected to last for a continuous period of at least twelve (12) months and renders the Participant unable to engage in any substantial, gainful activity.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the Plan"</w:t>
      </w:r>
    </w:p>
    <w:p>
      <w:pPr>
        <w:spacing w:after="0" w:line="2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 Employee who is eligible to participate in the Plan in accordance with provisions of Articles IV and 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person who, on an Offering Date, is a common law employee of the Company and whose customary employment is for more than twenty (20) hours per week and for more than five (5) months per calendar year, other than any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 Offering in accordance with the provisions of Article 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date of an Offering as established by the Plan Committee pursuant to Section 5.1 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 Eligible Employee who subscribes for Shares pursuant to Article VI.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Photronics, Inc. Employee Stock Purchase Plan set forth herein, as amended from time to time in accordance with the provisions of Article XV.</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Committee"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provided for in Article XII to administer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Purchase Date as provided in Sections 8.1 or 10.3,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offered under the Plan.</w:t>
      </w:r>
    </w:p>
    <w:p>
      <w:pPr>
        <w:spacing w:after="0" w:line="219" w:lineRule="exact"/>
        <w:rPr>
          <w:sz w:val="20"/>
          <w:szCs w:val="20"/>
          <w:color w:val="auto"/>
        </w:rPr>
      </w:pPr>
    </w:p>
    <w:p>
      <w:pPr>
        <w:ind w:right="540" w:firstLine="335"/>
        <w:spacing w:after="0" w:line="268" w:lineRule="auto"/>
        <w:rPr>
          <w:sz w:val="20"/>
          <w:szCs w:val="20"/>
          <w:color w:val="auto"/>
        </w:rPr>
      </w:pPr>
      <w:r>
        <w:rPr>
          <w:rFonts w:ascii="Arial" w:cs="Arial" w:eastAsia="Arial" w:hAnsi="Arial"/>
          <w:sz w:val="18"/>
          <w:szCs w:val="18"/>
          <w:color w:val="auto"/>
        </w:rPr>
        <w:t>The masculine gender, whenever used in the Plan, shall be deemed to include the feminine gender, and whenever the plural is used it shall include the singular, if the context so requires.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III - </w:t>
      </w:r>
      <w:r>
        <w:rPr>
          <w:rFonts w:ascii="Arial" w:cs="Arial" w:eastAsia="Arial" w:hAnsi="Arial"/>
          <w:sz w:val="18"/>
          <w:szCs w:val="18"/>
          <w:b w:val="1"/>
          <w:bCs w:val="1"/>
          <w:i w:val="1"/>
          <w:iCs w:val="1"/>
          <w:color w:val="auto"/>
        </w:rPr>
        <w:t>Shares Subject to the Plan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3.1 Subject to the provisions of Article XIV hereof, the aggregate number of shares of Common Stock which may be issued under the Plan shall not exceed 900,000.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IV - </w:t>
      </w:r>
      <w:r>
        <w:rPr>
          <w:rFonts w:ascii="Arial" w:cs="Arial" w:eastAsia="Arial" w:hAnsi="Arial"/>
          <w:sz w:val="18"/>
          <w:szCs w:val="18"/>
          <w:b w:val="1"/>
          <w:bCs w:val="1"/>
          <w:i w:val="1"/>
          <w:iCs w:val="1"/>
          <w:color w:val="auto"/>
        </w:rPr>
        <w:t>Eligibility</w:t>
      </w:r>
    </w:p>
    <w:p>
      <w:pPr>
        <w:spacing w:after="0" w:line="23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4.1 Each Employee who has been continuously employed by the Company for the one complete calendar month (or such longer period as may be determined by the Plan Committee) ending immediately prior to an Offering Date shall be eligible to participate in the Offering under the Plan made on such 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9" w:name="page80"/>
    <w:bookmarkEnd w:id="79"/>
    <w:p>
      <w:pPr>
        <w:ind w:right="40"/>
        <w:spacing w:after="0" w:line="294" w:lineRule="auto"/>
        <w:rPr>
          <w:sz w:val="20"/>
          <w:szCs w:val="20"/>
          <w:color w:val="auto"/>
        </w:rPr>
      </w:pPr>
      <w:r>
        <w:rPr>
          <w:rFonts w:ascii="Arial" w:cs="Arial" w:eastAsia="Arial" w:hAnsi="Arial"/>
          <w:sz w:val="16"/>
          <w:szCs w:val="16"/>
          <w:color w:val="auto"/>
        </w:rPr>
        <w:t>4.2 Notwithstanding the provisions of Section 4.1, no Employee shall be offered Shares if, immediately after he would subscribe for such Shares, such Employee would own capital stock (including shares of Common Stock which may be purchased under such subscription and under any other outstanding subscriptions under the Plan or options to purchase shares of Common Stock of the Company held by such Employee, as computed in accordance with Section 423[b][3] of the Code or any successor provision thereto) possessing 5% or more of the total combined voting power or value of all classes of stock of the Company. For purposes of determining the stock ownership of any Employee, the provisions of Section 424[d] of the Code shall apply.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 - </w:t>
      </w:r>
      <w:r>
        <w:rPr>
          <w:rFonts w:ascii="Arial" w:cs="Arial" w:eastAsia="Arial" w:hAnsi="Arial"/>
          <w:sz w:val="18"/>
          <w:szCs w:val="18"/>
          <w:b w:val="1"/>
          <w:bCs w:val="1"/>
          <w:i w:val="1"/>
          <w:iCs w:val="1"/>
          <w:color w:val="auto"/>
        </w:rPr>
        <w:t>Offering Under the Plan</w:t>
      </w:r>
    </w:p>
    <w:p>
      <w:pPr>
        <w:spacing w:after="0" w:line="23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5.1 Offerings under the Plan shall be made on such Offering Dates as shall be determined by the Plan Committee. Notwithstanding anything to the contrary, no Offering shall be made on any date prior to the date that a required registration statement with respect to such Offering filed under the Securities Act of 1933, as amended, has become effective. Nothing contained herein shall be deemed to require that an Offering be made in any year.</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5.2 [a] Subject to the limitations set forth in Sections 5.2[b] and 6.3, and to the other terms and conditions of the Plan, in each offering under the Plan, each Eligible Employee on an Offering Date shall be offered the right during the Subscription Period as provided in Section 6.2, to subscribe to purchase such number of Shares as the percentage designated by the Plan Committee for such offering (not to exceed 5%) of his Compensation would buy, at a price equal to the product of (i) the fair market value of a Share on the Offering Date, multiplied by (ii) the Purchase Price percentage utilized under Section 5.3 hereof.</w:t>
      </w:r>
    </w:p>
    <w:p>
      <w:pPr>
        <w:spacing w:after="0" w:line="167" w:lineRule="exact"/>
        <w:rPr>
          <w:sz w:val="20"/>
          <w:szCs w:val="20"/>
          <w:color w:val="auto"/>
        </w:rPr>
      </w:pPr>
    </w:p>
    <w:p>
      <w:pPr>
        <w:ind w:right="100" w:firstLine="346"/>
        <w:spacing w:after="0" w:line="294" w:lineRule="auto"/>
        <w:tabs>
          <w:tab w:leader="none" w:pos="5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Sub-Section [a] of this Section 5.2, no Eligible Employee shall be eligible to subscribe for Shares in an Offering if, immediately after he would subscribe for such Shares, such subscription would permit his rights to purchase shares of Common Stock under all employee stock purchase plans of the Company to accrue at a rate which exceeds $25,000 (or such other maximum amounts as may be prescribed from time to time under the Code) of the fair market value of such shares (determined as of the Offering Date for such Offering) for each calendar year in which such subscription would be outstanding at any time. For purposes of this limitation the provisions of Section 423[b][8] of the Code shall be applicable.</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5.3 The Purchase Price per share subscribed for all Shares in a particular Offering shall be an amount equal to such percentages, not greater than 100% nor less than 85%, as shall be determined by the Plan Committee on or prior to the Offering Date, of the fair market value of a share of Common Stock (determined in accordance with the provisions of Article XIII) on one of the following dates with respect to such Offering, with such date to be determined by the Plan Committee on or prior to the Offering Date: (i) the Offering Date, (ii) the Purchase Date, or (iii) the Offering Date or the Purchase Date (whichever would result in a lower Purchase Price for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0" w:name="page81"/>
    <w:bookmarkEnd w:id="80"/>
    <w:p>
      <w:pPr>
        <w:ind w:right="160"/>
        <w:spacing w:after="0" w:line="268" w:lineRule="auto"/>
        <w:rPr>
          <w:sz w:val="20"/>
          <w:szCs w:val="20"/>
          <w:color w:val="auto"/>
        </w:rPr>
      </w:pPr>
      <w:r>
        <w:rPr>
          <w:rFonts w:ascii="Arial" w:cs="Arial" w:eastAsia="Arial" w:hAnsi="Arial"/>
          <w:sz w:val="18"/>
          <w:szCs w:val="18"/>
          <w:color w:val="auto"/>
        </w:rPr>
        <w:t>5.4 In order to participate in any Offering, an Eligible Employee entitled to subscribe for Shares in such Offering shall comply with the subscription procedures set forth in Article VI.</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VI - </w:t>
      </w:r>
      <w:r>
        <w:rPr>
          <w:rFonts w:ascii="Arial" w:cs="Arial" w:eastAsia="Arial" w:hAnsi="Arial"/>
          <w:sz w:val="18"/>
          <w:szCs w:val="18"/>
          <w:b w:val="1"/>
          <w:bCs w:val="1"/>
          <w:i w:val="1"/>
          <w:iCs w:val="1"/>
          <w:color w:val="auto"/>
        </w:rPr>
        <w:t>Subscriptions for Shares</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6.1 As soon as practicable after an Offering Date, the Company shall furnish to each Eligible Employee a Subscription Agreement setting forth the maximum number of Shares to which such Eligible Employee may subscribe in such Offering, the fair market value per share of Common Stock on the Offering Date, the Purchase Price for Shares in such Offering and such other terms and conditions consistent with the Plan as shall be determined by the Plan Committee.</w:t>
      </w:r>
    </w:p>
    <w:p>
      <w:pPr>
        <w:spacing w:after="0" w:line="16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6.2 Within fifteen (15) days after receipt of such Subscription Agreement, an Eligible Employee desiring to participate in the Offering shall notify the Plan Committee of the number of Shares for which he desires to subscribe. Such notification shall be effected by the Eligible Employee's completing, executing and returning to the Secretary of the Company the Subscription Agreement. All such subscriptions shall be deemed to have been made as of the Offering Date. No subscription shall be accepted from any person who is not an Eligible Employee on the date his subscription is received by the Company.</w:t>
      </w:r>
    </w:p>
    <w:p>
      <w:pPr>
        <w:spacing w:after="0" w:line="16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6.3 The minimum number of Shares for which an Eligible Employee will be permitted to subscribe in any Offering is ten (10) (or the number of Shares offered to him if fewer than ten). If at any time the Shares available for an Offering are oversubscribed, the Number of Shares for which each Eligible Employee is entitled to subscribe pursuant to Section 5.2 shall be reduced, pro rata, to such lower number as may be necessary to eliminate such over-subscription.</w:t>
      </w:r>
    </w:p>
    <w:p>
      <w:pPr>
        <w:spacing w:after="0" w:line="1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6.4 If an Eligible Employee fails to subscribe to the Shares within the period and in the manner prescribed in Section 6.2, he shall waive all rights to purchase Shares in that Offering.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VII - </w:t>
      </w:r>
      <w:r>
        <w:rPr>
          <w:rFonts w:ascii="Arial" w:cs="Arial" w:eastAsia="Arial" w:hAnsi="Arial"/>
          <w:sz w:val="18"/>
          <w:szCs w:val="18"/>
          <w:b w:val="1"/>
          <w:bCs w:val="1"/>
          <w:i w:val="1"/>
          <w:iCs w:val="1"/>
          <w:color w:val="auto"/>
        </w:rPr>
        <w:t>Payment for Shares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7.1 The aggregate Purchase Price for the Shares for which a Participant subscribes in any Offering in accordance with the provisions of Article VI of the Plan shall be paid by means of payroll deductions.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7.2 [a] The aggregate Purchase Price for Shares shall be paid by payroll deductions in equal amounts over a period of 24 months (or such shorter period as shall be determined by the Plan Committee in accordance with the Plan) from the Offering Date. The period over which such payroll deductions are to be made in hereinafter referred to as the "Payment Period".</w:t>
      </w:r>
    </w:p>
    <w:p>
      <w:pPr>
        <w:spacing w:after="0" w:line="194" w:lineRule="exact"/>
        <w:rPr>
          <w:sz w:val="20"/>
          <w:szCs w:val="20"/>
          <w:color w:val="auto"/>
        </w:rPr>
      </w:pPr>
    </w:p>
    <w:p>
      <w:pPr>
        <w:ind w:firstLine="346"/>
        <w:spacing w:after="0" w:line="287" w:lineRule="auto"/>
        <w:tabs>
          <w:tab w:leader="none" w:pos="5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payroll deductions with respect to an Offering shall commence as soon as practicable after the receipt of the Company of the executed Subscription Agreement authorizing such payroll deductions, and shall cease upon the earlier of the termination of the Payment Period or payment in full of the Purchase Price for such Shares. A Participant may cancel his subscription to the extent provided for in Article X, but no other change in terms of his Subscription Agreement may be made during the Payment Period and, in particular, in no event may a Participant change the amount of his payroll deductions under such Subscription Agreement. All payroll deductions withheld from a Participant under a Subscription Agreement shall be credited to his account under the Plan. In the event that payroll deductions are simultaneously being made with respect to more than one Subscr iption Agreement, the aggregate amount of such payroll deductions at any payday shall be credited first toward the payment for Shares subscribed for in the earliest Offering. A Participant may not make any separate cash payment into his account, provided, however, that a Participant who has been deemed to be in the employ of the Company while on an Authorized Leave of Absence without pay during the Payment Period, may upon his return to the actual employ of the Company, make a cash payment into his account in an amount not exceeding the aggregate of the payroll deductions which would have been made during such Authorized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81" w:name="page82"/>
    <w:bookmarkEnd w:id="81"/>
    <w:p>
      <w:pPr>
        <w:ind w:right="140" w:firstLine="346"/>
        <w:spacing w:after="0" w:line="259"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7.3 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1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7.4 Failure to pay for subscribed Shares as provided in this Article VII shall constitute the cancellation of such subscription to the extent that any such Shares shall not have been so paid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VIII - </w:t>
      </w:r>
      <w:r>
        <w:rPr>
          <w:rFonts w:ascii="Arial" w:cs="Arial" w:eastAsia="Arial" w:hAnsi="Arial"/>
          <w:sz w:val="18"/>
          <w:szCs w:val="18"/>
          <w:b w:val="1"/>
          <w:bCs w:val="1"/>
          <w:i w:val="1"/>
          <w:iCs w:val="1"/>
          <w:color w:val="auto"/>
        </w:rPr>
        <w:t>Issuance of Shares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8.1 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8.2 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 xml:space="preserve">ARTICLE IX - </w:t>
      </w:r>
      <w:r>
        <w:rPr>
          <w:rFonts w:ascii="Arial" w:cs="Arial" w:eastAsia="Arial" w:hAnsi="Arial"/>
          <w:sz w:val="18"/>
          <w:szCs w:val="18"/>
          <w:b w:val="1"/>
          <w:bCs w:val="1"/>
          <w:i w:val="1"/>
          <w:iCs w:val="1"/>
          <w:color w:val="auto"/>
        </w:rPr>
        <w:t>Rights of Stockholders</w:t>
      </w:r>
    </w:p>
    <w:p>
      <w:pPr>
        <w:spacing w:after="0" w:line="23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9.1 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X - </w:t>
      </w:r>
      <w:r>
        <w:rPr>
          <w:rFonts w:ascii="Arial" w:cs="Arial" w:eastAsia="Arial" w:hAnsi="Arial"/>
          <w:sz w:val="18"/>
          <w:szCs w:val="18"/>
          <w:b w:val="1"/>
          <w:bCs w:val="1"/>
          <w:i w:val="1"/>
          <w:iCs w:val="1"/>
          <w:color w:val="auto"/>
        </w:rPr>
        <w:t>Voluntary Withdrawal/Termination of Employment</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10.1 A Participant may discontinue his payroll deductions under a Subscription Agreement at any time by giving written notice thereof to the Plan Committee, effective for all payroll periods commencing five (5) days after receipt of such notice by the Plan Committee.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10.2 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10.3 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 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 xml:space="preserve">ARTICLE XI - </w:t>
      </w:r>
      <w:r>
        <w:rPr>
          <w:rFonts w:ascii="Arial" w:cs="Arial" w:eastAsia="Arial" w:hAnsi="Arial"/>
          <w:sz w:val="18"/>
          <w:szCs w:val="18"/>
          <w:b w:val="1"/>
          <w:bCs w:val="1"/>
          <w:i w:val="1"/>
          <w:iCs w:val="1"/>
          <w:color w:val="auto"/>
        </w:rPr>
        <w:t>Non-Transferability of Subscription Rights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11.1 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 n then entitled to purchase the Shares under the provisions of Sections 10.3 hereof), terminate as of the occurrence of any such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XII - </w:t>
      </w:r>
      <w:r>
        <w:rPr>
          <w:rFonts w:ascii="Arial" w:cs="Arial" w:eastAsia="Arial" w:hAnsi="Arial"/>
          <w:sz w:val="18"/>
          <w:szCs w:val="18"/>
          <w:b w:val="1"/>
          <w:bCs w:val="1"/>
          <w:i w:val="1"/>
          <w:iCs w:val="1"/>
          <w:color w:val="auto"/>
        </w:rPr>
        <w:t>Administration of the Plan</w:t>
      </w:r>
    </w:p>
    <w:p>
      <w:pPr>
        <w:spacing w:after="0" w:line="23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12.1 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12.2 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12.3 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12.4 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12.5 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jc w:val="both"/>
        <w:ind w:right="100"/>
        <w:spacing w:after="0" w:line="259" w:lineRule="auto"/>
        <w:rPr>
          <w:sz w:val="20"/>
          <w:szCs w:val="20"/>
          <w:color w:val="auto"/>
        </w:rPr>
      </w:pPr>
      <w:r>
        <w:rPr>
          <w:rFonts w:ascii="Arial" w:cs="Arial" w:eastAsia="Arial" w:hAnsi="Arial"/>
          <w:sz w:val="18"/>
          <w:szCs w:val="18"/>
          <w:color w:val="auto"/>
        </w:rPr>
        <w:t>12.6 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12.7 The Plan Committee may adopt, and from time to time amend, such rules and regulations consistent with the purposes and provisions of the Plan, as it deems necessary or advisable to administer and effectuate the Plan.</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12.8 The Plan Committee may shorten, lengthen (but not beyond thirty (30) days) or waive the time required by the Plan for the filing of any notice or other form under the Plan.</w:t>
      </w:r>
    </w:p>
    <w:p>
      <w:pPr>
        <w:spacing w:after="0" w:line="18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12.9 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XIII - </w:t>
      </w:r>
      <w:r>
        <w:rPr>
          <w:rFonts w:ascii="Arial" w:cs="Arial" w:eastAsia="Arial" w:hAnsi="Arial"/>
          <w:sz w:val="18"/>
          <w:szCs w:val="18"/>
          <w:b w:val="1"/>
          <w:bCs w:val="1"/>
          <w:i w:val="1"/>
          <w:iCs w:val="1"/>
          <w:color w:val="auto"/>
        </w:rPr>
        <w:t>Valuation of Shares of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13.1 For purposes of the Plan, the "fair market value" of a share of Common Stock as of any date shall be determined as follows:</w:t>
      </w:r>
    </w:p>
    <w:p>
      <w:pPr>
        <w:spacing w:after="0" w:line="225" w:lineRule="exact"/>
        <w:rPr>
          <w:sz w:val="20"/>
          <w:szCs w:val="20"/>
          <w:color w:val="auto"/>
        </w:rPr>
      </w:pPr>
    </w:p>
    <w:p>
      <w:pPr>
        <w:ind w:right="260" w:firstLine="346"/>
        <w:spacing w:after="0" w:line="259" w:lineRule="auto"/>
        <w:tabs>
          <w:tab w:leader="none" w:pos="5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194" w:lineRule="exact"/>
        <w:rPr>
          <w:rFonts w:ascii="Arial" w:cs="Arial" w:eastAsia="Arial" w:hAnsi="Arial"/>
          <w:sz w:val="18"/>
          <w:szCs w:val="18"/>
          <w:color w:val="auto"/>
        </w:rPr>
      </w:pPr>
    </w:p>
    <w:p>
      <w:pPr>
        <w:ind w:right="280" w:firstLine="346"/>
        <w:spacing w:after="0" w:line="256" w:lineRule="auto"/>
        <w:tabs>
          <w:tab w:leader="none" w:pos="5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Common Stock is then listed on the National Association of Securities Dealers Automatic Quotation System 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XIV - </w:t>
      </w:r>
      <w:r>
        <w:rPr>
          <w:rFonts w:ascii="Arial" w:cs="Arial" w:eastAsia="Arial" w:hAnsi="Arial"/>
          <w:sz w:val="18"/>
          <w:szCs w:val="18"/>
          <w:b w:val="1"/>
          <w:bCs w:val="1"/>
          <w:i w:val="1"/>
          <w:iCs w:val="1"/>
          <w:color w:val="auto"/>
        </w:rPr>
        <w:t>Adjustments in Certain Events</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14.1 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 xml:space="preserve">ARTICLE XV - </w:t>
      </w:r>
      <w:r>
        <w:rPr>
          <w:rFonts w:ascii="Arial" w:cs="Arial" w:eastAsia="Arial" w:hAnsi="Arial"/>
          <w:sz w:val="18"/>
          <w:szCs w:val="18"/>
          <w:b w:val="1"/>
          <w:bCs w:val="1"/>
          <w:i w:val="1"/>
          <w:iCs w:val="1"/>
          <w:color w:val="auto"/>
        </w:rPr>
        <w:t>Termination and Amendment of the Plan</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15.1 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 e meaning of Section 423 of the Code). No termination, amendment or modification of the Plan may, without the consent of a Participant, adversely affect the rights of such Participant under an outstanding Subscription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XVI - </w:t>
      </w:r>
      <w:r>
        <w:rPr>
          <w:rFonts w:ascii="Arial" w:cs="Arial" w:eastAsia="Arial" w:hAnsi="Arial"/>
          <w:sz w:val="18"/>
          <w:szCs w:val="18"/>
          <w:b w:val="1"/>
          <w:bCs w:val="1"/>
          <w:i w:val="1"/>
          <w:iCs w:val="1"/>
          <w:color w:val="auto"/>
        </w:rPr>
        <w:t>Miscellaneous</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16.1 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16.2 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 xml:space="preserve">ARTICLE XVII - </w:t>
      </w:r>
      <w:r>
        <w:rPr>
          <w:rFonts w:ascii="Arial" w:cs="Arial" w:eastAsia="Arial" w:hAnsi="Arial"/>
          <w:sz w:val="18"/>
          <w:szCs w:val="18"/>
          <w:b w:val="1"/>
          <w:bCs w:val="1"/>
          <w:i w:val="1"/>
          <w:iCs w:val="1"/>
          <w:color w:val="auto"/>
        </w:rPr>
        <w:t>Effective Date</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17.1 The Plan shall become effective at such time as the Plan has been adopted by the Board of Directors or such later date as shall be designated by the Board of Directors upon its adoption of the Plan; provided, however, that the Plan and all Subscription Agreements entered into thereunder shall be, and be deemed to have been, null and void if the Plan is not approved by the holders of a majority of the outstanding shares of Common Stock of the Company within twelve (12) months after the date on which the Plan is adopted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SUBSIDIARIES OF PHOTRONICS, INC.</w:t>
            </w:r>
          </w:p>
        </w:tc>
      </w:tr>
      <w:tr>
        <w:trPr>
          <w:trHeight w:val="457"/>
        </w:trPr>
        <w:tc>
          <w:tcPr>
            <w:tcW w:w="3960" w:type="dxa"/>
            <w:vAlign w:val="bottom"/>
          </w:tcPr>
          <w:p>
            <w:pPr>
              <w:spacing w:after="0"/>
              <w:rPr>
                <w:sz w:val="24"/>
                <w:szCs w:val="24"/>
                <w:color w:val="auto"/>
              </w:rPr>
            </w:pPr>
          </w:p>
        </w:tc>
        <w:tc>
          <w:tcPr>
            <w:tcW w:w="7460" w:type="dxa"/>
            <w:vAlign w:val="bottom"/>
          </w:tcPr>
          <w:p>
            <w:pPr>
              <w:ind w:left="3880"/>
              <w:spacing w:after="0"/>
              <w:rPr>
                <w:sz w:val="20"/>
                <w:szCs w:val="20"/>
                <w:color w:val="auto"/>
              </w:rPr>
            </w:pPr>
            <w:r>
              <w:rPr>
                <w:rFonts w:ascii="Arial" w:cs="Arial" w:eastAsia="Arial" w:hAnsi="Arial"/>
                <w:sz w:val="18"/>
                <w:szCs w:val="18"/>
                <w:color w:val="auto"/>
              </w:rPr>
              <w:t>State or Jurisdiction</w:t>
            </w:r>
          </w:p>
        </w:tc>
      </w:tr>
      <w:tr>
        <w:trPr>
          <w:trHeight w:val="251"/>
        </w:trPr>
        <w:tc>
          <w:tcPr>
            <w:tcW w:w="3960" w:type="dxa"/>
            <w:vAlign w:val="bottom"/>
          </w:tcPr>
          <w:p>
            <w:pPr>
              <w:spacing w:after="0"/>
              <w:rPr>
                <w:sz w:val="21"/>
                <w:szCs w:val="21"/>
                <w:color w:val="auto"/>
              </w:rPr>
            </w:pPr>
          </w:p>
        </w:tc>
        <w:tc>
          <w:tcPr>
            <w:tcW w:w="7460" w:type="dxa"/>
            <w:vAlign w:val="bottom"/>
          </w:tcPr>
          <w:p>
            <w:pPr>
              <w:ind w:left="3280"/>
              <w:spacing w:after="0"/>
              <w:rPr>
                <w:sz w:val="20"/>
                <w:szCs w:val="20"/>
                <w:color w:val="auto"/>
              </w:rPr>
            </w:pPr>
            <w:r>
              <w:rPr>
                <w:rFonts w:ascii="Arial" w:cs="Arial" w:eastAsia="Arial" w:hAnsi="Arial"/>
                <w:sz w:val="18"/>
                <w:szCs w:val="18"/>
                <w:color w:val="auto"/>
              </w:rPr>
              <w:t>of Incorporation or Organization</w:t>
            </w:r>
          </w:p>
        </w:tc>
      </w:tr>
      <w:tr>
        <w:trPr>
          <w:trHeight w:val="235"/>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Align-Rite International, Inc.</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(California, USA)</w:t>
            </w:r>
          </w:p>
        </w:tc>
      </w:tr>
      <w:tr>
        <w:trPr>
          <w:trHeight w:val="243"/>
        </w:trPr>
        <w:tc>
          <w:tcPr>
            <w:tcW w:w="3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Align-Rite, Inc.</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(Florida, USA)</w:t>
            </w:r>
          </w:p>
        </w:tc>
      </w:tr>
      <w:tr>
        <w:trPr>
          <w:trHeight w:val="243"/>
        </w:trPr>
        <w:tc>
          <w:tcPr>
            <w:tcW w:w="3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Align-Rite International, Ltd.</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(United Kingdom)</w:t>
            </w:r>
          </w:p>
        </w:tc>
      </w:tr>
      <w:tr>
        <w:trPr>
          <w:trHeight w:val="243"/>
        </w:trPr>
        <w:tc>
          <w:tcPr>
            <w:tcW w:w="39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Photronics (Wales) Limited</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(United Kingdom)</w:t>
            </w:r>
          </w:p>
        </w:tc>
      </w:tr>
      <w:tr>
        <w:trPr>
          <w:trHeight w:val="259"/>
        </w:trPr>
        <w:tc>
          <w:tcPr>
            <w:tcW w:w="3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Photronics, B.V.</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(Netherlands)</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Photronics Arizona, Inc.</w:t>
            </w:r>
          </w:p>
        </w:tc>
        <w:tc>
          <w:tcPr>
            <w:tcW w:w="7460" w:type="dxa"/>
            <w:vAlign w:val="bottom"/>
          </w:tcPr>
          <w:p>
            <w:pPr>
              <w:ind w:left="3780"/>
              <w:spacing w:after="0"/>
              <w:rPr>
                <w:sz w:val="20"/>
                <w:szCs w:val="20"/>
                <w:color w:val="auto"/>
              </w:rPr>
            </w:pPr>
            <w:r>
              <w:rPr>
                <w:rFonts w:ascii="Arial" w:cs="Arial" w:eastAsia="Arial" w:hAnsi="Arial"/>
                <w:sz w:val="18"/>
                <w:szCs w:val="18"/>
                <w:color w:val="auto"/>
              </w:rPr>
              <w:t>(Arizona, USA)</w:t>
            </w:r>
          </w:p>
        </w:tc>
      </w:tr>
      <w:tr>
        <w:trPr>
          <w:trHeight w:val="251"/>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Photronics California, Inc.</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(California, USA)</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Photronics Idaho, Inc.</w:t>
            </w:r>
          </w:p>
        </w:tc>
        <w:tc>
          <w:tcPr>
            <w:tcW w:w="7460" w:type="dxa"/>
            <w:vAlign w:val="bottom"/>
          </w:tcPr>
          <w:p>
            <w:pPr>
              <w:ind w:left="3780"/>
              <w:spacing w:after="0"/>
              <w:rPr>
                <w:sz w:val="20"/>
                <w:szCs w:val="20"/>
                <w:color w:val="auto"/>
              </w:rPr>
            </w:pPr>
            <w:r>
              <w:rPr>
                <w:rFonts w:ascii="Arial" w:cs="Arial" w:eastAsia="Arial" w:hAnsi="Arial"/>
                <w:sz w:val="18"/>
                <w:szCs w:val="18"/>
                <w:color w:val="auto"/>
              </w:rPr>
              <w:t>(Idaho, USA)</w:t>
            </w:r>
          </w:p>
        </w:tc>
      </w:tr>
      <w:tr>
        <w:trPr>
          <w:trHeight w:val="235"/>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Photronics Texas, Inc.</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(Texas, USA)</w:t>
            </w:r>
          </w:p>
        </w:tc>
      </w:tr>
      <w:tr>
        <w:trPr>
          <w:trHeight w:val="243"/>
        </w:trPr>
        <w:tc>
          <w:tcPr>
            <w:tcW w:w="3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Photronics Texas I, LLC</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(Delaware, USA)</w:t>
            </w:r>
          </w:p>
        </w:tc>
      </w:tr>
      <w:tr>
        <w:trPr>
          <w:trHeight w:val="272"/>
        </w:trPr>
        <w:tc>
          <w:tcPr>
            <w:tcW w:w="39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 xml:space="preserve">Photronics Texas I, LP </w:t>
            </w:r>
            <w:r>
              <w:rPr>
                <w:rFonts w:ascii="Arial" w:cs="Arial" w:eastAsia="Arial" w:hAnsi="Arial"/>
                <w:sz w:val="13"/>
                <w:szCs w:val="13"/>
                <w:color w:val="auto"/>
              </w:rPr>
              <w:t>(1)</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(Texas, USA)</w:t>
            </w:r>
          </w:p>
        </w:tc>
      </w:tr>
      <w:tr>
        <w:trPr>
          <w:trHeight w:val="228"/>
        </w:trPr>
        <w:tc>
          <w:tcPr>
            <w:tcW w:w="3960" w:type="dxa"/>
            <w:vAlign w:val="bottom"/>
          </w:tcPr>
          <w:p>
            <w:pPr>
              <w:spacing w:after="0"/>
              <w:rPr>
                <w:sz w:val="20"/>
                <w:szCs w:val="20"/>
                <w:color w:val="auto"/>
              </w:rPr>
            </w:pPr>
            <w:r>
              <w:rPr>
                <w:rFonts w:ascii="Arial" w:cs="Arial" w:eastAsia="Arial" w:hAnsi="Arial"/>
                <w:sz w:val="18"/>
                <w:szCs w:val="18"/>
                <w:color w:val="auto"/>
              </w:rPr>
              <w:t>Photronics Texas Allen, Inc.</w:t>
            </w:r>
          </w:p>
        </w:tc>
        <w:tc>
          <w:tcPr>
            <w:tcW w:w="7460" w:type="dxa"/>
            <w:vAlign w:val="bottom"/>
          </w:tcPr>
          <w:p>
            <w:pPr>
              <w:ind w:left="3780"/>
              <w:spacing w:after="0"/>
              <w:rPr>
                <w:sz w:val="20"/>
                <w:szCs w:val="20"/>
                <w:color w:val="auto"/>
              </w:rPr>
            </w:pPr>
            <w:r>
              <w:rPr>
                <w:rFonts w:ascii="Arial" w:cs="Arial" w:eastAsia="Arial" w:hAnsi="Arial"/>
                <w:sz w:val="18"/>
                <w:szCs w:val="18"/>
                <w:color w:val="auto"/>
              </w:rPr>
              <w:t>(Texas, USA)</w:t>
            </w:r>
          </w:p>
        </w:tc>
      </w:tr>
      <w:tr>
        <w:trPr>
          <w:trHeight w:val="243"/>
        </w:trPr>
        <w:tc>
          <w:tcPr>
            <w:tcW w:w="3960" w:type="dxa"/>
            <w:vAlign w:val="bottom"/>
          </w:tcPr>
          <w:p>
            <w:pPr>
              <w:ind w:left="320"/>
              <w:spacing w:after="0"/>
              <w:rPr>
                <w:sz w:val="20"/>
                <w:szCs w:val="20"/>
                <w:color w:val="auto"/>
              </w:rPr>
            </w:pPr>
            <w:r>
              <w:rPr>
                <w:rFonts w:ascii="Arial" w:cs="Arial" w:eastAsia="Arial" w:hAnsi="Arial"/>
                <w:sz w:val="18"/>
                <w:szCs w:val="18"/>
                <w:color w:val="auto"/>
              </w:rPr>
              <w:t>Photronics Texas II, LLC</w:t>
            </w:r>
          </w:p>
        </w:tc>
        <w:tc>
          <w:tcPr>
            <w:tcW w:w="7460" w:type="dxa"/>
            <w:vAlign w:val="bottom"/>
          </w:tcPr>
          <w:p>
            <w:pPr>
              <w:ind w:left="3780"/>
              <w:spacing w:after="0"/>
              <w:rPr>
                <w:sz w:val="20"/>
                <w:szCs w:val="20"/>
                <w:color w:val="auto"/>
              </w:rPr>
            </w:pPr>
            <w:r>
              <w:rPr>
                <w:rFonts w:ascii="Arial" w:cs="Arial" w:eastAsia="Arial" w:hAnsi="Arial"/>
                <w:sz w:val="18"/>
                <w:szCs w:val="18"/>
                <w:color w:val="auto"/>
              </w:rPr>
              <w:t>(Delaware, USA)</w:t>
            </w:r>
          </w:p>
        </w:tc>
      </w:tr>
      <w:tr>
        <w:trPr>
          <w:trHeight w:val="264"/>
        </w:trPr>
        <w:tc>
          <w:tcPr>
            <w:tcW w:w="3960" w:type="dxa"/>
            <w:vAlign w:val="bottom"/>
          </w:tcPr>
          <w:p>
            <w:pPr>
              <w:ind w:left="620"/>
              <w:spacing w:after="0"/>
              <w:rPr>
                <w:sz w:val="20"/>
                <w:szCs w:val="20"/>
                <w:color w:val="auto"/>
              </w:rPr>
            </w:pPr>
            <w:r>
              <w:rPr>
                <w:rFonts w:ascii="Arial" w:cs="Arial" w:eastAsia="Arial" w:hAnsi="Arial"/>
                <w:sz w:val="18"/>
                <w:szCs w:val="18"/>
                <w:color w:val="auto"/>
              </w:rPr>
              <w:t xml:space="preserve">Photronics Texas II, LP </w:t>
            </w:r>
            <w:r>
              <w:rPr>
                <w:rFonts w:ascii="Arial" w:cs="Arial" w:eastAsia="Arial" w:hAnsi="Arial"/>
                <w:sz w:val="13"/>
                <w:szCs w:val="13"/>
                <w:color w:val="auto"/>
              </w:rPr>
              <w:t>(2)</w:t>
            </w:r>
          </w:p>
        </w:tc>
        <w:tc>
          <w:tcPr>
            <w:tcW w:w="7460" w:type="dxa"/>
            <w:vAlign w:val="bottom"/>
          </w:tcPr>
          <w:p>
            <w:pPr>
              <w:ind w:left="3780"/>
              <w:spacing w:after="0"/>
              <w:rPr>
                <w:sz w:val="20"/>
                <w:szCs w:val="20"/>
                <w:color w:val="auto"/>
              </w:rPr>
            </w:pPr>
            <w:r>
              <w:rPr>
                <w:rFonts w:ascii="Arial" w:cs="Arial" w:eastAsia="Arial" w:hAnsi="Arial"/>
                <w:sz w:val="18"/>
                <w:szCs w:val="18"/>
                <w:color w:val="auto"/>
              </w:rPr>
              <w:t>(Texas, USA)</w:t>
            </w:r>
          </w:p>
        </w:tc>
      </w:tr>
      <w:tr>
        <w:trPr>
          <w:trHeight w:val="251"/>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Photronics MZD, GmbH</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(Germany)</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w w:val="91"/>
              </w:rPr>
              <w:t>Photronics Imaging Technologies (Shanghai) Co., Ltd.</w:t>
            </w:r>
          </w:p>
        </w:tc>
        <w:tc>
          <w:tcPr>
            <w:tcW w:w="7460" w:type="dxa"/>
            <w:vAlign w:val="bottom"/>
          </w:tcPr>
          <w:p>
            <w:pPr>
              <w:ind w:left="3780"/>
              <w:spacing w:after="0"/>
              <w:rPr>
                <w:sz w:val="20"/>
                <w:szCs w:val="20"/>
                <w:color w:val="auto"/>
              </w:rPr>
            </w:pPr>
            <w:r>
              <w:rPr>
                <w:rFonts w:ascii="Arial" w:cs="Arial" w:eastAsia="Arial" w:hAnsi="Arial"/>
                <w:sz w:val="18"/>
                <w:szCs w:val="18"/>
                <w:color w:val="auto"/>
              </w:rPr>
              <w:t>(China)</w:t>
            </w:r>
          </w:p>
        </w:tc>
      </w:tr>
      <w:tr>
        <w:trPr>
          <w:trHeight w:val="264"/>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 xml:space="preserve">Photronics Semiconductor Mask Corporation </w:t>
            </w:r>
            <w:r>
              <w:rPr>
                <w:rFonts w:ascii="Arial" w:cs="Arial" w:eastAsia="Arial" w:hAnsi="Arial"/>
                <w:sz w:val="13"/>
                <w:szCs w:val="13"/>
                <w:color w:val="auto"/>
              </w:rPr>
              <w:t>(3)</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(Taiwan, R.O.C.)</w:t>
            </w:r>
          </w:p>
        </w:tc>
      </w:t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Photronics Switzerland, S.a.r.L</w:t>
            </w:r>
          </w:p>
        </w:tc>
        <w:tc>
          <w:tcPr>
            <w:tcW w:w="7460" w:type="dxa"/>
            <w:vAlign w:val="bottom"/>
          </w:tcPr>
          <w:p>
            <w:pPr>
              <w:ind w:left="3780"/>
              <w:spacing w:after="0"/>
              <w:rPr>
                <w:sz w:val="20"/>
                <w:szCs w:val="20"/>
                <w:color w:val="auto"/>
              </w:rPr>
            </w:pPr>
            <w:r>
              <w:rPr>
                <w:rFonts w:ascii="Arial" w:cs="Arial" w:eastAsia="Arial" w:hAnsi="Arial"/>
                <w:sz w:val="18"/>
                <w:szCs w:val="18"/>
                <w:color w:val="auto"/>
              </w:rPr>
              <w:t>(Switzerland)</w:t>
            </w:r>
          </w:p>
        </w:tc>
      </w:tr>
      <w:tr>
        <w:trPr>
          <w:trHeight w:val="251"/>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Photronics Singapore Pte, Ltd.</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(Singapore)</w:t>
            </w:r>
          </w:p>
        </w:tc>
      </w:tr>
      <w:tr>
        <w:trPr>
          <w:trHeight w:val="228"/>
        </w:trPr>
        <w:tc>
          <w:tcPr>
            <w:tcW w:w="3960" w:type="dxa"/>
            <w:vAlign w:val="bottom"/>
          </w:tcPr>
          <w:p>
            <w:pPr>
              <w:spacing w:after="0"/>
              <w:rPr>
                <w:sz w:val="20"/>
                <w:szCs w:val="20"/>
                <w:color w:val="auto"/>
              </w:rPr>
            </w:pPr>
            <w:r>
              <w:rPr>
                <w:rFonts w:ascii="Arial" w:cs="Arial" w:eastAsia="Arial" w:hAnsi="Arial"/>
                <w:sz w:val="18"/>
                <w:szCs w:val="18"/>
                <w:color w:val="auto"/>
              </w:rPr>
              <w:t>Photronics UK, Ltd.</w:t>
            </w:r>
          </w:p>
        </w:tc>
        <w:tc>
          <w:tcPr>
            <w:tcW w:w="7460" w:type="dxa"/>
            <w:vAlign w:val="bottom"/>
          </w:tcPr>
          <w:p>
            <w:pPr>
              <w:ind w:left="3780"/>
              <w:spacing w:after="0"/>
              <w:rPr>
                <w:sz w:val="20"/>
                <w:szCs w:val="20"/>
                <w:color w:val="auto"/>
              </w:rPr>
            </w:pPr>
            <w:r>
              <w:rPr>
                <w:rFonts w:ascii="Arial" w:cs="Arial" w:eastAsia="Arial" w:hAnsi="Arial"/>
                <w:sz w:val="18"/>
                <w:szCs w:val="18"/>
                <w:color w:val="auto"/>
              </w:rPr>
              <w:t>(United Kingdom)</w:t>
            </w:r>
          </w:p>
        </w:tc>
      </w:tr>
      <w:tr>
        <w:trPr>
          <w:trHeight w:val="264"/>
        </w:trPr>
        <w:tc>
          <w:tcPr>
            <w:tcW w:w="3960" w:type="dxa"/>
            <w:vAlign w:val="bottom"/>
          </w:tcPr>
          <w:p>
            <w:pPr>
              <w:ind w:left="320"/>
              <w:spacing w:after="0"/>
              <w:rPr>
                <w:sz w:val="20"/>
                <w:szCs w:val="20"/>
                <w:color w:val="auto"/>
              </w:rPr>
            </w:pPr>
            <w:r>
              <w:rPr>
                <w:rFonts w:ascii="Arial" w:cs="Arial" w:eastAsia="Arial" w:hAnsi="Arial"/>
                <w:sz w:val="18"/>
                <w:szCs w:val="18"/>
                <w:color w:val="auto"/>
              </w:rPr>
              <w:t xml:space="preserve">Photronics France SAS </w:t>
            </w:r>
            <w:r>
              <w:rPr>
                <w:rFonts w:ascii="Arial" w:cs="Arial" w:eastAsia="Arial" w:hAnsi="Arial"/>
                <w:sz w:val="13"/>
                <w:szCs w:val="13"/>
                <w:color w:val="auto"/>
              </w:rPr>
              <w:t>(4)</w:t>
            </w:r>
          </w:p>
        </w:tc>
        <w:tc>
          <w:tcPr>
            <w:tcW w:w="7460" w:type="dxa"/>
            <w:vAlign w:val="bottom"/>
          </w:tcPr>
          <w:p>
            <w:pPr>
              <w:ind w:left="3780"/>
              <w:spacing w:after="0"/>
              <w:rPr>
                <w:sz w:val="20"/>
                <w:szCs w:val="20"/>
                <w:color w:val="auto"/>
              </w:rPr>
            </w:pPr>
            <w:r>
              <w:rPr>
                <w:rFonts w:ascii="Arial" w:cs="Arial" w:eastAsia="Arial" w:hAnsi="Arial"/>
                <w:sz w:val="18"/>
                <w:szCs w:val="18"/>
                <w:color w:val="auto"/>
              </w:rPr>
              <w:t>(France)</w:t>
            </w:r>
          </w:p>
        </w:tc>
      </w:tr>
      <w:tr>
        <w:trPr>
          <w:trHeight w:val="249"/>
        </w:trPr>
        <w:tc>
          <w:tcPr>
            <w:tcW w:w="3960" w:type="dxa"/>
            <w:vAlign w:val="bottom"/>
            <w:shd w:val="clear" w:color="auto" w:fill="C0C0C0"/>
          </w:tcPr>
          <w:p>
            <w:pPr>
              <w:spacing w:after="0"/>
              <w:rPr>
                <w:sz w:val="20"/>
                <w:szCs w:val="20"/>
                <w:color w:val="auto"/>
              </w:rPr>
            </w:pPr>
            <w:r>
              <w:rPr>
                <w:rFonts w:ascii="Arial" w:cs="Arial" w:eastAsia="Arial" w:hAnsi="Arial"/>
                <w:sz w:val="18"/>
                <w:szCs w:val="18"/>
                <w:color w:val="auto"/>
              </w:rPr>
              <w:t xml:space="preserve">PK, Ltd. </w:t>
            </w:r>
            <w:r>
              <w:rPr>
                <w:rFonts w:ascii="Arial" w:cs="Arial" w:eastAsia="Arial" w:hAnsi="Arial"/>
                <w:sz w:val="13"/>
                <w:szCs w:val="13"/>
                <w:color w:val="auto"/>
              </w:rPr>
              <w:t>(5)</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(Korea)</w:t>
            </w:r>
          </w:p>
        </w:tc>
      </w:tr>
      <w:tr>
        <w:trPr>
          <w:trHeight w:val="259"/>
        </w:trPr>
        <w:tc>
          <w:tcPr>
            <w:tcW w:w="3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PKLT</w:t>
            </w:r>
          </w:p>
        </w:tc>
        <w:tc>
          <w:tcPr>
            <w:tcW w:w="7460" w:type="dxa"/>
            <w:vAlign w:val="bottom"/>
            <w:shd w:val="clear" w:color="auto" w:fill="C0C0C0"/>
          </w:tcPr>
          <w:p>
            <w:pPr>
              <w:ind w:left="3780"/>
              <w:spacing w:after="0"/>
              <w:rPr>
                <w:sz w:val="20"/>
                <w:szCs w:val="20"/>
                <w:color w:val="auto"/>
              </w:rPr>
            </w:pPr>
            <w:r>
              <w:rPr>
                <w:rFonts w:ascii="Arial" w:cs="Arial" w:eastAsia="Arial" w:hAnsi="Arial"/>
                <w:sz w:val="18"/>
                <w:szCs w:val="18"/>
                <w:color w:val="auto"/>
              </w:rPr>
              <w:t>(Taiwan)</w:t>
            </w:r>
          </w:p>
        </w:tc>
      </w:tr>
      <w:tr>
        <w:trPr>
          <w:trHeight w:val="228"/>
        </w:trPr>
        <w:tc>
          <w:tcPr>
            <w:tcW w:w="3960" w:type="dxa"/>
            <w:vAlign w:val="bottom"/>
          </w:tcPr>
          <w:p>
            <w:pPr>
              <w:spacing w:after="0"/>
              <w:rPr>
                <w:sz w:val="20"/>
                <w:szCs w:val="20"/>
                <w:color w:val="auto"/>
              </w:rPr>
            </w:pPr>
            <w:r>
              <w:rPr>
                <w:rFonts w:ascii="Arial" w:cs="Arial" w:eastAsia="Arial" w:hAnsi="Arial"/>
                <w:sz w:val="18"/>
                <w:szCs w:val="18"/>
                <w:color w:val="auto"/>
              </w:rPr>
              <w:t>Trianja Technologies, Inc.</w:t>
            </w:r>
          </w:p>
        </w:tc>
        <w:tc>
          <w:tcPr>
            <w:tcW w:w="7460" w:type="dxa"/>
            <w:vAlign w:val="bottom"/>
          </w:tcPr>
          <w:p>
            <w:pPr>
              <w:ind w:left="3780"/>
              <w:spacing w:after="0"/>
              <w:rPr>
                <w:sz w:val="20"/>
                <w:szCs w:val="20"/>
                <w:color w:val="auto"/>
              </w:rPr>
            </w:pPr>
            <w:r>
              <w:rPr>
                <w:rFonts w:ascii="Arial" w:cs="Arial" w:eastAsia="Arial" w:hAnsi="Arial"/>
                <w:sz w:val="18"/>
                <w:szCs w:val="18"/>
                <w:color w:val="auto"/>
              </w:rPr>
              <w:t>(Texas, USA)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186" w:lineRule="exact"/>
        <w:rPr>
          <w:sz w:val="20"/>
          <w:szCs w:val="20"/>
          <w:color w:val="auto"/>
        </w:rPr>
      </w:pPr>
    </w:p>
    <w:p>
      <w:pPr>
        <w:ind w:left="500" w:right="740" w:hanging="492"/>
        <w:spacing w:after="0" w:line="25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99.0% owned by Photronics Texas I, LLC, and 1.0% owned by Photronics Texas, Inc. (directly and indirectly, in the aggregate, wholly owned by Photronics, Inc.).</w:t>
      </w:r>
    </w:p>
    <w:p>
      <w:pPr>
        <w:ind w:left="500" w:right="20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99.0% owned by Photronics Texas II, LLC., and 1.0% owned by Photronics Texas Allen, Inc. (directly and indirectly, in the aggregate, wholly owned by Photronics, Inc.).</w:t>
      </w: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57.53% owned by Photronics, Inc.</w:t>
      </w:r>
    </w:p>
    <w:p>
      <w:pPr>
        <w:spacing w:after="0" w:line="9"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99% owned by Photronics UK, Ltd., and 1% owned by Photronics MZD, GmbH (directly and indirectly, in the aggregate, wholly owned by Photronics, Inc.).</w:t>
      </w: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consent to the incorporation by reference in Registration Statement Nos. 333-160235 and 333-161857 on Form S-3 and Registration Statement Nos. 333-169296, 333-169295, 333-02245, 333-42010, 333-50809, 333-86846, 333-78102 and 333-151763 on Form S-8 of our reports dated January 14, 2011, relating to the consolidated financial statements and financial statement schedule of Photronics, Inc. and subsidiaries (which report expresses an unqualified opinion and includes an explanatory paragraph concerning the adoption of new accounting standards for noncontrolling interests as set forth in Consolidation Topic No. 810 of the Accounting Standards Codification) and the effectiveness of Photronics, Inc. and subsidiaries internal control over financial reporting, appearing in this Annual Report on Form 10-K of Photronics, Inc. and subsidiaries for the year ended October 31,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31.1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25"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25"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40" w:right="580" w:hanging="427"/>
        <w:spacing w:after="0" w:line="370" w:lineRule="auto"/>
        <w:tabs>
          <w:tab w:leader="none" w:pos="8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16" w:lineRule="exact"/>
        <w:rPr>
          <w:rFonts w:ascii="Arial" w:cs="Arial" w:eastAsia="Arial" w:hAnsi="Arial"/>
          <w:sz w:val="15"/>
          <w:szCs w:val="15"/>
          <w:color w:val="auto"/>
        </w:rPr>
      </w:pPr>
    </w:p>
    <w:p>
      <w:pPr>
        <w:ind w:left="840" w:right="40" w:hanging="427"/>
        <w:spacing w:after="0" w:line="259"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EXHIBIT 31.2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2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25" w:lineRule="exact"/>
        <w:rPr>
          <w:rFonts w:ascii="Arial" w:cs="Arial" w:eastAsia="Arial" w:hAnsi="Arial"/>
          <w:sz w:val="18"/>
          <w:szCs w:val="18"/>
          <w:color w:val="auto"/>
        </w:rPr>
      </w:pPr>
    </w:p>
    <w:p>
      <w:pPr>
        <w:ind w:left="460" w:right="240" w:hanging="452"/>
        <w:spacing w:after="0" w:line="37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460" w:right="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940" w:right="40" w:hanging="473"/>
        <w:spacing w:after="0" w:line="259"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940" w:right="20" w:hanging="473"/>
        <w:spacing w:after="0" w:line="259"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40" w:right="460" w:hanging="473"/>
        <w:spacing w:after="0" w:line="370" w:lineRule="auto"/>
        <w:tabs>
          <w:tab w:leader="none" w:pos="94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16" w:lineRule="exact"/>
        <w:rPr>
          <w:rFonts w:ascii="Arial" w:cs="Arial" w:eastAsia="Arial" w:hAnsi="Arial"/>
          <w:sz w:val="15"/>
          <w:szCs w:val="15"/>
          <w:color w:val="auto"/>
        </w:rPr>
      </w:pPr>
    </w:p>
    <w:p>
      <w:pPr>
        <w:jc w:val="both"/>
        <w:ind w:left="940" w:right="140" w:hanging="473"/>
        <w:spacing w:after="0" w:line="259"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40" w:hanging="473"/>
        <w:spacing w:after="0" w:line="268"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40" w:right="80" w:hanging="473"/>
        <w:spacing w:after="0" w:line="268" w:lineRule="auto"/>
        <w:tabs>
          <w:tab w:leader="none" w:pos="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186" w:lineRule="exact"/>
        <w:rPr>
          <w:sz w:val="20"/>
          <w:szCs w:val="20"/>
          <w:color w:val="auto"/>
        </w:rPr>
      </w:pPr>
    </w:p>
    <w:p>
      <w:pPr>
        <w:ind w:left="440" w:hanging="432"/>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2010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440" w:hanging="432"/>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19" w:lineRule="exact"/>
        <w:rPr>
          <w:sz w:val="20"/>
          <w:szCs w:val="20"/>
          <w:color w:val="auto"/>
        </w:rPr>
      </w:pPr>
    </w:p>
    <w:p>
      <w:pPr>
        <w:ind w:left="5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2010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9"/>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21"/>
    </w:lvl>
  </w:abstractNum>
  <w:abstractNum w:abstractNumId="8">
    <w:nsid w:val="7FDCC233"/>
    <w:multiLevelType w:val="hybridMultilevel"/>
    <w:lvl w:ilvl="0">
      <w:lvlJc w:val="left"/>
      <w:lvlText w:val="%1"/>
      <w:numFmt w:val="decimal"/>
      <w:start w:val="23"/>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lowerLetter"/>
      <w:start w:val="3"/>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2019-12-10T07:57:25Z</dcterms:created>
  <dcterms:modified xsi:type="dcterms:W3CDTF">2019-12-10T07:57:25Z</dcterms:modified>
</cp:coreProperties>
</file>