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Kang Jyh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SECOR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PHOTRONICS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46.05</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365,850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04/16/2026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45.8</w:t>
            </w: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355,850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$46.04 - $46.09. The price reported is a weighted average. The reporting person undertakes to provide, upon request by the SEC staff, the issuer, or any security holder of the issuer, full information regarding the number of shares sold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/s/Brandon DeSocio, attorney- </w:t>
      </w:r>
      <w:r>
        <w:rPr>
          <w:rFonts w:ascii="Times New Roman" w:cs="Times New Roman" w:eastAsia="Times New Roman" w:hAnsi="Times New Roman"/>
          <w:sz w:val="33"/>
          <w:szCs w:val="33"/>
          <w:color w:val="0000FF"/>
          <w:vertAlign w:val="subscript"/>
        </w:rPr>
        <w:t>04/20/2026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Kang Jyh Lee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1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14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8668" TargetMode="External"/><Relationship Id="rId14" Type="http://schemas.openxmlformats.org/officeDocument/2006/relationships/hyperlink" Target="http://www.sec.gov/cgi-bin/browse-edgar?action=getcompany&amp;CIK=00008101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2026-04-20T20:09:24Z</dcterms:created>
  <dcterms:modified xsi:type="dcterms:W3CDTF">2026-04-20T20:09:24Z</dcterms:modified>
</cp:coreProperties>
</file>