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900" w:right="1980" w:hanging="3892"/>
        <w:spacing w:after="0" w:line="277" w:lineRule="auto"/>
        <w:tabs>
          <w:tab w:leader="none" w:pos="558"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31, 2016</w:t>
      </w:r>
    </w:p>
    <w:p>
      <w:pPr>
        <w:spacing w:after="0" w:line="170" w:lineRule="exact"/>
        <w:rPr>
          <w:sz w:val="24"/>
          <w:szCs w:val="24"/>
          <w:color w:val="auto"/>
        </w:rPr>
      </w:pPr>
    </w:p>
    <w:p>
      <w:pPr>
        <w:ind w:left="4180" w:right="1940" w:hanging="4172"/>
        <w:spacing w:after="0" w:line="532" w:lineRule="auto"/>
        <w:tabs>
          <w:tab w:leader="none" w:pos="569"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400" w:type="dxa"/>
            <w:vAlign w:val="bottom"/>
          </w:tcPr>
          <w:p>
            <w:pPr>
              <w:ind w:left="980"/>
              <w:spacing w:after="0"/>
              <w:rPr>
                <w:sz w:val="20"/>
                <w:szCs w:val="20"/>
                <w:color w:val="auto"/>
              </w:rPr>
            </w:pPr>
            <w:r>
              <w:rPr>
                <w:rFonts w:ascii="Arial" w:cs="Arial" w:eastAsia="Arial" w:hAnsi="Arial"/>
                <w:sz w:val="18"/>
                <w:szCs w:val="18"/>
                <w:color w:val="auto"/>
              </w:rPr>
              <w:t>Class</w:t>
            </w:r>
          </w:p>
        </w:tc>
        <w:tc>
          <w:tcPr>
            <w:tcW w:w="6020" w:type="dxa"/>
            <w:vAlign w:val="bottom"/>
          </w:tcPr>
          <w:p>
            <w:pPr>
              <w:ind w:left="2940"/>
              <w:spacing w:after="0"/>
              <w:rPr>
                <w:sz w:val="20"/>
                <w:szCs w:val="20"/>
                <w:color w:val="auto"/>
              </w:rPr>
            </w:pPr>
            <w:r>
              <w:rPr>
                <w:rFonts w:ascii="Arial" w:cs="Arial" w:eastAsia="Arial" w:hAnsi="Arial"/>
                <w:sz w:val="18"/>
                <w:szCs w:val="18"/>
                <w:color w:val="auto"/>
              </w:rPr>
              <w:t>Outstanding at February 26, 2016</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020" w:type="dxa"/>
            <w:vAlign w:val="bottom"/>
          </w:tcPr>
          <w:p>
            <w:pPr>
              <w:ind w:left="3380"/>
              <w:spacing w:after="0"/>
              <w:rPr>
                <w:sz w:val="20"/>
                <w:szCs w:val="20"/>
                <w:color w:val="auto"/>
              </w:rPr>
            </w:pPr>
            <w:r>
              <w:rPr>
                <w:rFonts w:ascii="Arial" w:cs="Arial" w:eastAsia="Arial" w:hAnsi="Arial"/>
                <w:sz w:val="18"/>
                <w:szCs w:val="18"/>
                <w:b w:val="1"/>
                <w:bCs w:val="1"/>
                <w:color w:val="auto"/>
              </w:rPr>
              <w:t>67,279,545 Shares</w:t>
            </w:r>
          </w:p>
        </w:tc>
      </w:tr>
      <w:tr>
        <w:trPr>
          <w:trHeight w:val="351"/>
        </w:trPr>
        <w:tc>
          <w:tcPr>
            <w:tcW w:w="54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03"/>
        </w:trPr>
        <w:tc>
          <w:tcPr>
            <w:tcW w:w="5400" w:type="dxa"/>
            <w:vAlign w:val="bottom"/>
            <w:tcBorders>
              <w:left w:val="single" w:sz="8" w:color="9A9A9A"/>
            </w:tcBorders>
          </w:tcPr>
          <w:p>
            <w:pPr>
              <w:spacing w:after="0"/>
              <w:rPr>
                <w:sz w:val="17"/>
                <w:szCs w:val="17"/>
                <w:color w:val="auto"/>
              </w:rPr>
            </w:pPr>
          </w:p>
        </w:tc>
        <w:tc>
          <w:tcPr>
            <w:tcW w:w="6020" w:type="dxa"/>
            <w:vAlign w:val="bottom"/>
            <w:tcBorders>
              <w:right w:val="single" w:sz="8" w:color="EEEEEE"/>
            </w:tcBorders>
          </w:tcPr>
          <w:p>
            <w:pPr>
              <w:spacing w:after="0"/>
              <w:rPr>
                <w:sz w:val="17"/>
                <w:szCs w:val="17"/>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49" w:lineRule="exact"/>
        <w:rPr>
          <w:sz w:val="20"/>
          <w:szCs w:val="20"/>
          <w:color w:val="auto"/>
        </w:rPr>
      </w:pPr>
    </w:p>
    <w:p>
      <w:pPr>
        <w:ind w:firstLine="162"/>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January 31, 2016 and November 1, 2015</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Income for the Three Months Ended January 31, 2016 and February 1, 2015</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140" w:type="dxa"/>
            <w:vAlign w:val="bottom"/>
            <w:gridSpan w:val="13"/>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Comprehensive Income (Loss) for the Three Months Ended January 31, 2016 and</w:t>
              </w:r>
            </w:hyperlink>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76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February 1, 2015</w:t>
              </w:r>
            </w:hyperlink>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theThree Months Ended January 31, 2016 and February 1, 2015</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36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1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20" w:type="dxa"/>
            <w:vAlign w:val="bottom"/>
            <w:tcBorders>
              <w:top w:val="single" w:sz="8" w:color="CCEEFF"/>
            </w:tcBorders>
            <w:gridSpan w:val="6"/>
          </w:tcPr>
          <w:p>
            <w:pPr>
              <w:jc w:val="right"/>
              <w:ind w:right="300"/>
              <w:spacing w:after="0"/>
              <w:rPr>
                <w:sz w:val="20"/>
                <w:szCs w:val="20"/>
                <w:color w:val="auto"/>
              </w:rPr>
            </w:pPr>
            <w:r>
              <w:rPr>
                <w:rFonts w:ascii="Arial" w:cs="Arial" w:eastAsia="Arial" w:hAnsi="Arial"/>
                <w:sz w:val="14"/>
                <w:szCs w:val="14"/>
                <w:color w:val="auto"/>
              </w:rPr>
              <w:t>3</w:t>
            </w:r>
          </w:p>
        </w:tc>
        <w:tc>
          <w:tcPr>
            <w:tcW w:w="17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4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4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PHOTRONICS,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40" w:type="dxa"/>
            <w:vAlign w:val="bottom"/>
          </w:tcPr>
          <w:p>
            <w:pPr>
              <w:jc w:val="center"/>
              <w:ind w:left="16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40" w:type="dxa"/>
            <w:vAlign w:val="bottom"/>
          </w:tcPr>
          <w:p>
            <w:pPr>
              <w:jc w:val="center"/>
              <w:ind w:left="169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40" w:type="dxa"/>
            <w:vAlign w:val="bottom"/>
          </w:tcPr>
          <w:p>
            <w:pPr>
              <w:jc w:val="center"/>
              <w:ind w:left="1690"/>
              <w:spacing w:after="0"/>
              <w:rPr>
                <w:sz w:val="20"/>
                <w:szCs w:val="20"/>
                <w:color w:val="auto"/>
              </w:rPr>
            </w:pPr>
            <w:r>
              <w:rPr>
                <w:rFonts w:ascii="Arial" w:cs="Arial" w:eastAsia="Arial" w:hAnsi="Arial"/>
                <w:sz w:val="18"/>
                <w:szCs w:val="18"/>
                <w:b w:val="1"/>
                <w:bCs w:val="1"/>
                <w:i w:val="1"/>
                <w:iCs w:val="1"/>
                <w:color w:val="auto"/>
                <w:w w:val="87"/>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$3,228 in 2016 and $3,301 in 2015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99,936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19,840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4"/>
              </w:rPr>
              <w:t>Other assets</w:t>
            </w:r>
          </w:p>
        </w:tc>
        <w:tc>
          <w:tcPr>
            <w:tcW w:w="7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8"/>
              </w:rPr>
              <w:t>Total assets</w:t>
            </w:r>
          </w:p>
        </w:tc>
        <w:tc>
          <w:tcPr>
            <w:tcW w:w="78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1,023,350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63,955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32,473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$0.01 par value, 150,000 shares authorized, 67,081 shares issued and outstanding at January 31, 2016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and 66,602 shares issued and outstanding at November 1, 2015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(28,005)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1,023,350</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7"/>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Gain on sale of investment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21,002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67,020</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8820" w:type="dxa"/>
            <w:vAlign w:val="bottom"/>
            <w:gridSpan w:val="3"/>
          </w:tcPr>
          <w:p>
            <w:pPr>
              <w:jc w:val="center"/>
              <w:ind w:left="2522"/>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280" w:type="dxa"/>
            <w:vAlign w:val="bottom"/>
          </w:tcPr>
          <w:p>
            <w:pPr>
              <w:jc w:val="center"/>
              <w:ind w:left="2410"/>
              <w:spacing w:after="0"/>
              <w:rPr>
                <w:sz w:val="20"/>
                <w:szCs w:val="20"/>
                <w:color w:val="auto"/>
              </w:rPr>
            </w:pPr>
            <w:r>
              <w:rPr>
                <w:rFonts w:ascii="Arial" w:cs="Arial" w:eastAsia="Arial" w:hAnsi="Arial"/>
                <w:sz w:val="18"/>
                <w:szCs w:val="18"/>
                <w:b w:val="1"/>
                <w:bCs w:val="1"/>
                <w:color w:val="auto"/>
                <w:w w:val="99"/>
              </w:rPr>
              <w:t>PHOTRONICS,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80" w:type="dxa"/>
            <w:vAlign w:val="bottom"/>
          </w:tcPr>
          <w:p>
            <w:pPr>
              <w:jc w:val="center"/>
              <w:ind w:left="2430"/>
              <w:spacing w:after="0"/>
              <w:rPr>
                <w:sz w:val="20"/>
                <w:szCs w:val="20"/>
                <w:color w:val="auto"/>
              </w:rPr>
            </w:pPr>
            <w:r>
              <w:rPr>
                <w:rFonts w:ascii="Arial" w:cs="Arial" w:eastAsia="Arial" w:hAnsi="Arial"/>
                <w:sz w:val="18"/>
                <w:szCs w:val="18"/>
                <w:b w:val="1"/>
                <w:bCs w:val="1"/>
                <w:color w:val="auto"/>
                <w:w w:val="88"/>
              </w:rPr>
              <w:t>Condensed Consolidated Statements of Comprehensive Income (Loss)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jc w:val="center"/>
              <w:ind w:left="2430"/>
              <w:spacing w:after="0"/>
              <w:rPr>
                <w:sz w:val="20"/>
                <w:szCs w:val="20"/>
                <w:color w:val="auto"/>
              </w:rPr>
            </w:pPr>
            <w:r>
              <w:rPr>
                <w:rFonts w:ascii="Arial" w:cs="Arial" w:eastAsia="Arial" w:hAnsi="Arial"/>
                <w:sz w:val="18"/>
                <w:szCs w:val="18"/>
                <w:b w:val="1"/>
                <w:bCs w:val="1"/>
                <w:i w:val="1"/>
                <w:iCs w:val="1"/>
                <w:color w:val="auto"/>
                <w:w w:val="87"/>
              </w:rPr>
              <w:t>(in 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jc w:val="center"/>
              <w:ind w:left="2410"/>
              <w:spacing w:after="0"/>
              <w:rPr>
                <w:sz w:val="20"/>
                <w:szCs w:val="20"/>
                <w:color w:val="auto"/>
              </w:rPr>
            </w:pPr>
            <w:r>
              <w:rPr>
                <w:rFonts w:ascii="Arial" w:cs="Arial" w:eastAsia="Arial" w:hAnsi="Arial"/>
                <w:sz w:val="18"/>
                <w:szCs w:val="18"/>
                <w:b w:val="1"/>
                <w:bCs w:val="1"/>
                <w:i w:val="1"/>
                <w:iCs w:val="1"/>
                <w:color w:val="auto"/>
                <w:w w:val="87"/>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 attributable to Photronics, Inc. shareholders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PHOTRONICS,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(8,785)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43,388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(21,539)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(12,561)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(4,876)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25,577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231,444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54,510</w:t>
            </w:r>
          </w:p>
        </w:tc>
        <w:tc>
          <w:tcPr>
            <w:tcW w:w="0" w:type="dxa"/>
            <w:vAlign w:val="bottom"/>
          </w:tcPr>
          <w:p>
            <w:pPr>
              <w:spacing w:after="0"/>
              <w:rPr>
                <w:sz w:val="1"/>
                <w:szCs w:val="1"/>
                <w:color w:val="auto"/>
              </w:rPr>
            </w:pPr>
          </w:p>
        </w:tc>
      </w:tr>
      <w:tr>
        <w:trPr>
          <w:trHeight w:val="459"/>
        </w:trPr>
        <w:tc>
          <w:tcPr>
            <w:tcW w:w="824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8240" w:type="dxa"/>
            <w:vAlign w:val="bottom"/>
            <w:gridSpan w:val="3"/>
          </w:tcPr>
          <w:p>
            <w:pPr>
              <w:jc w:val="center"/>
              <w:ind w:left="3099"/>
              <w:spacing w:after="0"/>
              <w:rPr>
                <w:sz w:val="20"/>
                <w:szCs w:val="20"/>
                <w:color w:val="auto"/>
              </w:rPr>
            </w:pPr>
            <w:r>
              <w:rPr>
                <w:rFonts w:ascii="Arial" w:cs="Arial" w:eastAsia="Arial" w:hAnsi="Arial"/>
                <w:sz w:val="14"/>
                <w:szCs w:val="14"/>
                <w:color w:val="auto"/>
                <w:w w:val="76"/>
              </w:rPr>
              <w:t>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31, 2016 and February 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49" w:lineRule="exact"/>
        <w:rPr>
          <w:sz w:val="20"/>
          <w:szCs w:val="20"/>
          <w:color w:val="auto"/>
        </w:rPr>
      </w:pPr>
    </w:p>
    <w:p>
      <w:pPr>
        <w:ind w:right="60" w:firstLine="162"/>
        <w:spacing w:after="0" w:line="279" w:lineRule="auto"/>
        <w:rPr>
          <w:sz w:val="20"/>
          <w:szCs w:val="20"/>
          <w:color w:val="auto"/>
        </w:rPr>
      </w:pPr>
      <w:r>
        <w:rPr>
          <w:rFonts w:ascii="Arial" w:cs="Arial" w:eastAsia="Arial" w:hAnsi="Arial"/>
          <w:sz w:val="19"/>
          <w:szCs w:val="19"/>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78" w:lineRule="exact"/>
        <w:rPr>
          <w:sz w:val="20"/>
          <w:szCs w:val="20"/>
          <w:color w:val="auto"/>
        </w:rPr>
      </w:pPr>
    </w:p>
    <w:p>
      <w:pPr>
        <w:ind w:right="80" w:firstLine="162"/>
        <w:spacing w:after="0" w:line="244" w:lineRule="auto"/>
        <w:rPr>
          <w:sz w:val="20"/>
          <w:szCs w:val="20"/>
          <w:color w:val="auto"/>
        </w:rPr>
      </w:pPr>
      <w:r>
        <w:rPr>
          <w:rFonts w:ascii="Arial" w:cs="Arial" w:eastAsia="Arial" w:hAnsi="Arial"/>
          <w:sz w:val="21"/>
          <w:szCs w:val="21"/>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October 30, 2016. For further information, refer to the consolidated financial statements and notes thereto included in the Company’s Annual Report on Form 10-K for the year ended November 1,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following tables set forth the Company’s consolidated changes in equity for the three months ended January 31, 2016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February 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rPr>
              <w:t>Three Months Ended January 31, 2016</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0"/>
          </w:tcPr>
          <w:p>
            <w:pPr>
              <w:ind w:left="620"/>
              <w:spacing w:after="0"/>
              <w:rPr>
                <w:sz w:val="20"/>
                <w:szCs w:val="20"/>
                <w:color w:val="auto"/>
              </w:rPr>
            </w:pPr>
            <w:r>
              <w:rPr>
                <w:rFonts w:ascii="Arial" w:cs="Arial" w:eastAsia="Arial" w:hAnsi="Arial"/>
                <w:sz w:val="18"/>
                <w:szCs w:val="18"/>
                <w:b w:val="1"/>
                <w:bCs w:val="1"/>
                <w:color w:val="auto"/>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4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Retained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controlling</w:t>
            </w:r>
          </w:p>
        </w:tc>
        <w:tc>
          <w:tcPr>
            <w:tcW w:w="180" w:type="dxa"/>
            <w:vAlign w:val="bottom"/>
          </w:tcPr>
          <w:p>
            <w:pPr>
              <w:spacing w:after="0"/>
              <w:rPr>
                <w:sz w:val="9"/>
                <w:szCs w:val="9"/>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Balance at November 1, 2015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(17,432)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(3,612)</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Sale of common stock through</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at January 31, 2016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767,463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rPr>
              <w:t>Three Months Ended February 1, 2015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10"/>
          </w:tcPr>
          <w:p>
            <w:pPr>
              <w:ind w:left="74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4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Retained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controlling</w:t>
            </w:r>
          </w:p>
        </w:tc>
        <w:tc>
          <w:tcPr>
            <w:tcW w:w="180" w:type="dxa"/>
            <w:vAlign w:val="bottom"/>
          </w:tcPr>
          <w:p>
            <w:pPr>
              <w:spacing w:after="0"/>
              <w:rPr>
                <w:sz w:val="9"/>
                <w:szCs w:val="9"/>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Balance at November 2, 2014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Sale of common stock through</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Balance at February 1, 2015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110,936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PLANT AND EQUIPMENT</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Property, plant and equipment consists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1,587,971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1,626,480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Equipment under capital leases are included in above property, plant and equipment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38,784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40,191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0" w:firstLine="162"/>
        <w:spacing w:after="0" w:line="251" w:lineRule="auto"/>
        <w:rPr>
          <w:sz w:val="20"/>
          <w:szCs w:val="20"/>
          <w:color w:val="auto"/>
        </w:rPr>
      </w:pPr>
      <w:r>
        <w:rPr>
          <w:rFonts w:ascii="Arial" w:cs="Arial" w:eastAsia="Arial" w:hAnsi="Arial"/>
          <w:sz w:val="22"/>
          <w:szCs w:val="22"/>
          <w:color w:val="auto"/>
        </w:rPr>
        <w:t>Depreciation and amortization expense for property, plant and equipment was $19.1 million and $19.2 million for the three month periods ended January 31, 2016 and February 1, 2015,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49" w:lineRule="exact"/>
        <w:rPr>
          <w:sz w:val="20"/>
          <w:szCs w:val="20"/>
          <w:color w:val="auto"/>
        </w:rPr>
      </w:pPr>
    </w:p>
    <w:p>
      <w:pPr>
        <w:ind w:right="60" w:firstLine="162"/>
        <w:spacing w:after="0" w:line="238" w:lineRule="auto"/>
        <w:rPr>
          <w:sz w:val="20"/>
          <w:szCs w:val="20"/>
          <w:color w:val="auto"/>
        </w:rPr>
      </w:pPr>
      <w:r>
        <w:rPr>
          <w:rFonts w:ascii="Arial" w:cs="Arial" w:eastAsia="Arial" w:hAnsi="Arial"/>
          <w:sz w:val="22"/>
          <w:szCs w:val="22"/>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19"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by the Financial Accounting Standard Board’s Accounting Standards Codification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6"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$2.2 million and $1.3 million during the three month periods ended January 31, 2016 and February 1, 2015, respectively, and research and development expenses of $0.2 million during the three month periods ended January 31, 2016 and February 1, 2015. As of January 31, 2016 and November 1, 2015, the Company owed MP Mask $5.6 million and $4.3 million, respectively, and had a receivable from Micron of $6.9 million and $6.4 million, respectively, both primarily related to the aforementioned supply agreements.</w:t>
      </w:r>
    </w:p>
    <w:p>
      <w:pPr>
        <w:spacing w:after="0" w:line="205"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8" w:lineRule="exact"/>
        <w:rPr>
          <w:sz w:val="20"/>
          <w:szCs w:val="20"/>
          <w:color w:val="auto"/>
        </w:rPr>
      </w:pPr>
    </w:p>
    <w:p>
      <w:pPr>
        <w:ind w:right="180" w:firstLine="162"/>
        <w:spacing w:after="0" w:line="282" w:lineRule="auto"/>
        <w:rPr>
          <w:sz w:val="20"/>
          <w:szCs w:val="20"/>
          <w:color w:val="auto"/>
        </w:rPr>
      </w:pPr>
      <w:r>
        <w:rPr>
          <w:rFonts w:ascii="Arial" w:cs="Arial" w:eastAsia="Arial" w:hAnsi="Arial"/>
          <w:sz w:val="19"/>
          <w:szCs w:val="19"/>
          <w:color w:val="auto"/>
        </w:rPr>
        <w:t>The Company’s investment in the VIE, which represents its maximum exposure to loss, was $92.9 million at January 31, 2016 and $93.0 million November 1, 2015. This amount is reported in the Company’s condensed consolidated balance sheets as “Investment in joint venture”. The Company recorded a loss of $0.1 million from its investment in the three month period ended January 31, 2016, and recorded no income or loss in the three month period ended February 1, 2015. Income or loss from the VIE is included in “Interest and other income (expense), net” in the condensed consolidated statements of income.</w:t>
      </w:r>
    </w:p>
    <w:p>
      <w:pPr>
        <w:spacing w:after="0" w:line="175" w:lineRule="exact"/>
        <w:rPr>
          <w:sz w:val="20"/>
          <w:szCs w:val="20"/>
          <w:color w:val="auto"/>
        </w:rPr>
      </w:pPr>
    </w:p>
    <w:p>
      <w:pPr>
        <w:ind w:right="40" w:firstLine="162"/>
        <w:spacing w:after="0" w:line="273" w:lineRule="auto"/>
        <w:rPr>
          <w:sz w:val="20"/>
          <w:szCs w:val="20"/>
          <w:color w:val="auto"/>
        </w:rPr>
      </w:pPr>
      <w:r>
        <w:rPr>
          <w:rFonts w:ascii="Arial" w:cs="Arial" w:eastAsia="Arial" w:hAnsi="Arial"/>
          <w:sz w:val="19"/>
          <w:szCs w:val="19"/>
          <w:color w:val="auto"/>
        </w:rPr>
        <w:t>On March 24,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January 18, 2016,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if any. The technology license agreement commenced in March 2015 and continues through the earlier of one year from the termination of the initial technology license agreement, which will occur on May 5, 2016, or when Micron certifies that it has transferred certain defined technology to the Company. The Company forevermore has the rights to use the technology obtained under these technology license agreements.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BORROWINGS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Long-term borrowings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31,</w:t>
            </w:r>
          </w:p>
        </w:tc>
        <w:tc>
          <w:tcPr>
            <w:tcW w:w="2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66,224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80" w:firstLine="162"/>
        <w:spacing w:after="0" w:line="245" w:lineRule="auto"/>
        <w:rPr>
          <w:sz w:val="20"/>
          <w:szCs w:val="20"/>
          <w:color w:val="auto"/>
        </w:rPr>
      </w:pPr>
      <w:r>
        <w:rPr>
          <w:rFonts w:ascii="Arial" w:cs="Arial" w:eastAsia="Arial" w:hAnsi="Arial"/>
          <w:sz w:val="21"/>
          <w:szCs w:val="21"/>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219" w:lineRule="exact"/>
        <w:rPr>
          <w:sz w:val="20"/>
          <w:szCs w:val="20"/>
          <w:color w:val="auto"/>
        </w:rPr>
      </w:pPr>
    </w:p>
    <w:p>
      <w:pPr>
        <w:ind w:right="200" w:firstLine="162"/>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January 31, 2016. The Company had no outstanding borrowings against the credit facility at January 31, 2016, and $50 million was available for borrowing. The interest rate on the credit facility (1.73% at January 31, 2016) is based on the Company’s total leverage ratio at LIBOR plus a spread, as defined in the credit facility.</w:t>
      </w:r>
    </w:p>
    <w:p>
      <w:pPr>
        <w:spacing w:after="0" w:line="205"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January 31, 2016, the total amount payable through the end of the lease term was $14.5 million, of which $14.0 million represented principal and $0.5 million represented interest.</w:t>
      </w:r>
    </w:p>
    <w:p>
      <w:pPr>
        <w:spacing w:after="0" w:line="215"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January 31, 2016, the total amount payable through the end of the lease term, substantially all of which represented principal, was $1.1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56" w:lineRule="exact"/>
        <w:rPr>
          <w:sz w:val="20"/>
          <w:szCs w:val="20"/>
          <w:color w:val="auto"/>
        </w:rPr>
      </w:pPr>
    </w:p>
    <w:p>
      <w:pPr>
        <w:ind w:right="240" w:firstLine="162"/>
        <w:spacing w:after="0" w:line="270" w:lineRule="auto"/>
        <w:rPr>
          <w:sz w:val="20"/>
          <w:szCs w:val="20"/>
          <w:color w:val="auto"/>
        </w:rPr>
      </w:pPr>
      <w:r>
        <w:rPr>
          <w:rFonts w:ascii="Arial" w:cs="Arial" w:eastAsia="Arial" w:hAnsi="Arial"/>
          <w:sz w:val="17"/>
          <w:szCs w:val="17"/>
          <w:color w:val="auto"/>
        </w:rPr>
        <w:t>The Company has a share-based compensation plan (the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to nine million shares during fiscal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$0.9 million in each of the three month periods ended January 31, 2016 and February 1, 2015, respectively, and the Company received cash from option exercises of $2.0 million and $0.7 million during those respective periods. No share-based compensation cost was capitalized as part of an asset and no related income tax benefits were recorded during the fiscal years presented.</w:t>
      </w:r>
    </w:p>
    <w:p>
      <w:pPr>
        <w:sectPr>
          <w:pgSz w:w="11900" w:h="16838" w:orient="portrait"/>
          <w:cols w:equalWidth="0" w:num="1">
            <w:col w:w="11420"/>
          </w:cols>
          <w:pgMar w:left="240" w:top="122"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49" w:lineRule="exact"/>
        <w:rPr>
          <w:sz w:val="20"/>
          <w:szCs w:val="20"/>
          <w:color w:val="auto"/>
        </w:rPr>
      </w:pPr>
    </w:p>
    <w:p>
      <w:pPr>
        <w:ind w:right="20" w:firstLine="162"/>
        <w:spacing w:after="0" w:line="247" w:lineRule="auto"/>
        <w:rPr>
          <w:sz w:val="20"/>
          <w:szCs w:val="20"/>
          <w:color w:val="auto"/>
        </w:rPr>
      </w:pPr>
      <w:r>
        <w:rPr>
          <w:rFonts w:ascii="Arial" w:cs="Arial" w:eastAsia="Arial" w:hAnsi="Arial"/>
          <w:sz w:val="21"/>
          <w:szCs w:val="21"/>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60" w:firstLine="162"/>
        <w:spacing w:after="0" w:line="274" w:lineRule="auto"/>
        <w:rPr>
          <w:sz w:val="20"/>
          <w:szCs w:val="20"/>
          <w:color w:val="auto"/>
        </w:rPr>
      </w:pPr>
      <w:r>
        <w:rPr>
          <w:rFonts w:ascii="Arial" w:cs="Arial" w:eastAsia="Arial" w:hAnsi="Arial"/>
          <w:sz w:val="21"/>
          <w:szCs w:val="21"/>
          <w:color w:val="auto"/>
        </w:rPr>
        <w:t>The weighted-average inputs and risk-free rate of return ranges used to calculate the grant date fair value of options issued during the three month periods ended January 31, 2016 and February 1, 2015, are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312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3740" w:type="dxa"/>
            <w:vAlign w:val="bottom"/>
          </w:tcPr>
          <w:p>
            <w:pPr>
              <w:spacing w:after="0"/>
              <w:rPr>
                <w:sz w:val="17"/>
                <w:szCs w:val="17"/>
                <w:color w:val="auto"/>
              </w:rPr>
            </w:pPr>
          </w:p>
        </w:tc>
        <w:tc>
          <w:tcPr>
            <w:tcW w:w="1540" w:type="dxa"/>
            <w:vAlign w:val="bottom"/>
            <w:tcBorders>
              <w:top w:val="single" w:sz="8" w:color="auto"/>
            </w:tcBorders>
            <w:gridSpan w:val="2"/>
          </w:tcPr>
          <w:p>
            <w:pPr>
              <w:jc w:val="center"/>
              <w:ind w:right="540"/>
              <w:spacing w:after="0" w:line="198" w:lineRule="exact"/>
              <w:rPr>
                <w:sz w:val="20"/>
                <w:szCs w:val="20"/>
                <w:color w:val="auto"/>
              </w:rPr>
            </w:pPr>
            <w:r>
              <w:rPr>
                <w:rFonts w:ascii="Arial" w:cs="Arial" w:eastAsia="Arial" w:hAnsi="Arial"/>
                <w:sz w:val="18"/>
                <w:szCs w:val="18"/>
                <w:b w:val="1"/>
                <w:bCs w:val="1"/>
                <w:color w:val="auto"/>
                <w:w w:val="92"/>
              </w:rPr>
              <w:t>January 31,</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February 1,</w:t>
            </w:r>
          </w:p>
        </w:tc>
        <w:tc>
          <w:tcPr>
            <w:tcW w:w="480" w:type="dxa"/>
            <w:vAlign w:val="bottom"/>
          </w:tcPr>
          <w:p>
            <w:pPr>
              <w:spacing w:after="0"/>
              <w:rPr>
                <w:sz w:val="17"/>
                <w:szCs w:val="17"/>
                <w:color w:val="auto"/>
              </w:rPr>
            </w:pPr>
          </w:p>
        </w:tc>
      </w:tr>
      <w:tr>
        <w:trPr>
          <w:trHeight w:val="241"/>
        </w:trPr>
        <w:tc>
          <w:tcPr>
            <w:tcW w:w="37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16"/>
        </w:trPr>
        <w:tc>
          <w:tcPr>
            <w:tcW w:w="37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16"/>
        </w:trPr>
        <w:tc>
          <w:tcPr>
            <w:tcW w:w="374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Volatility</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r>
      <w:tr>
        <w:trPr>
          <w:trHeight w:val="216"/>
        </w:trPr>
        <w:tc>
          <w:tcPr>
            <w:tcW w:w="37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16"/>
        </w:trPr>
        <w:tc>
          <w:tcPr>
            <w:tcW w:w="374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Risk free rate of return</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r>
      <w:tr>
        <w:trPr>
          <w:trHeight w:val="216"/>
        </w:trPr>
        <w:tc>
          <w:tcPr>
            <w:tcW w:w="37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16"/>
        </w:trPr>
        <w:tc>
          <w:tcPr>
            <w:tcW w:w="374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Dividend yield</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r>
      <w:tr>
        <w:trPr>
          <w:trHeight w:val="216"/>
        </w:trPr>
        <w:tc>
          <w:tcPr>
            <w:tcW w:w="37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16"/>
        </w:trPr>
        <w:tc>
          <w:tcPr>
            <w:tcW w:w="374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Expected term</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 years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 years</w:t>
            </w: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Information on outstanding and exercisable option awards as of January 31, 2016, is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2016</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4,013,635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6.4 years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31, 2016</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2,460,810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 years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There were 579,250 share options granted during the three month period ended January 31, 2016, with a weighted-average grant date fair value of $4.66 per share, and there were 302,000 share options granted during the three month period ended February 1, 2015, with a weighted-average grant date fair value of $3.88 per share. As of January 31, 2016, the total unrecognized compensation cost related to unvested option awards was approximately $5.9 million. That cost is expected to be recognized over a weighted-average amortization period of 2.9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Company periodically grants restricted stock awards. The restrictions on these awards typically lapse over a service period of one to four years. There were 115,225 restricted stock awards issued during the three month period ended January 31, 2016, with a weighted-average grant date fair value of $12.13 per share, and there were 111,334 restricted stock awards issued during the three month period ended February 1, 2015, with a weighted-average grant date fair value of $8.23 per share. As of January 31, 2016, the total compensation cost not yet recognized related to unvested restricted stock awards was approximately $2.0 million. That cost is expected to be recognized over a weighted-average amortization period of 2.3 years. As of January 31, 2016, there were 209,875 shares of restricted stock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49" w:lineRule="exact"/>
        <w:rPr>
          <w:sz w:val="20"/>
          <w:szCs w:val="20"/>
          <w:color w:val="auto"/>
        </w:rPr>
      </w:pPr>
    </w:p>
    <w:p>
      <w:pPr>
        <w:ind w:right="60" w:firstLine="162"/>
        <w:spacing w:after="0" w:line="238" w:lineRule="auto"/>
        <w:rPr>
          <w:sz w:val="20"/>
          <w:szCs w:val="20"/>
          <w:color w:val="auto"/>
        </w:rPr>
      </w:pPr>
      <w:r>
        <w:rPr>
          <w:rFonts w:ascii="Arial" w:cs="Arial" w:eastAsia="Arial" w:hAnsi="Arial"/>
          <w:sz w:val="22"/>
          <w:szCs w:val="22"/>
          <w:color w:val="auto"/>
        </w:rPr>
        <w:t>The effective tax rate differs from the U.S. statutory rate of 35% in the three month periods ended January 31, 2016 and February 1, 2015, primarily due to earnings being taxed at lower statutory rates in foreign jurisdictions, combined with the benefit of various investment credits in a foreign jurisdiction. Valuation allowances in jurisdictions with historic losses eliminate the effective rate impact of these jurisdictions.</w:t>
      </w:r>
    </w:p>
    <w:p>
      <w:pPr>
        <w:spacing w:after="0" w:line="212" w:lineRule="exact"/>
        <w:rPr>
          <w:sz w:val="20"/>
          <w:szCs w:val="20"/>
          <w:color w:val="auto"/>
        </w:rPr>
      </w:pPr>
    </w:p>
    <w:p>
      <w:pPr>
        <w:ind w:right="40" w:firstLine="162"/>
        <w:spacing w:after="0" w:line="287" w:lineRule="auto"/>
        <w:rPr>
          <w:sz w:val="20"/>
          <w:szCs w:val="20"/>
          <w:color w:val="auto"/>
        </w:rPr>
      </w:pPr>
      <w:r>
        <w:rPr>
          <w:rFonts w:ascii="Arial" w:cs="Arial" w:eastAsia="Arial" w:hAnsi="Arial"/>
          <w:sz w:val="19"/>
          <w:szCs w:val="19"/>
          <w:color w:val="auto"/>
        </w:rPr>
        <w:t>Unrecognized tax benefits related to uncertain tax positions were $4.1 million at January 31, 2016 and at November 1, 2015, all of which would favorably impact the Company’s effective tax rate if recognized. Accrued interest and penalties related to unrecognized tax benefits was $0.1 million at January 31, 2016 and November 1, 2015. As of January 31, 2016, the total amount of unrecognized tax benefits is not expected to significantly increase or decrease in the next twelve months.</w:t>
      </w:r>
    </w:p>
    <w:p>
      <w:pPr>
        <w:spacing w:after="0" w:line="17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PKLT, the Company’s FPD manufacturing facility in Taiwan, has been accorded a tax holiday, which started in 2012 and expires in 2017. This tax holiday had no dollar or per share effect in the three month periods ended January 31, 2016 and February 1, 2015. PDMC, the Company’s IC manufacturing facility in Taiwan was accorded a tax holiday that commenced in 2015 and expires in 2019. The Company realized $0.1 million in tax benefits from this tax holiday in each of the three month periods ended January 31, 2016 and February 1, 2015. The tax holiday had no per share effect in the three month periods ended January 31, 2016 and February 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NOTE 8 - EARNINGS PER SHARE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Convertible notes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Arial" w:cs="Arial" w:eastAsia="Arial" w:hAnsi="Arial"/>
                <w:sz w:val="18"/>
                <w:szCs w:val="18"/>
                <w:color w:val="auto"/>
              </w:rPr>
              <w:t>Share-based payment awards</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6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32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January 31,</w:t>
            </w:r>
          </w:p>
        </w:tc>
        <w:tc>
          <w:tcPr>
            <w:tcW w:w="11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February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Convertible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CHANGES IN ACCUMULATED OTHER COMPREHENSIVE INCOME BY COMPONENT</w:t>
      </w:r>
    </w:p>
    <w:p>
      <w:pPr>
        <w:spacing w:after="0" w:line="256"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month periods ended January 31, 2016 and February 1,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b w:val="1"/>
                <w:bCs w:val="1"/>
                <w:color w:val="auto"/>
              </w:rPr>
              <w:t>Three Months Ended January 31, 2016</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8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2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2015</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(21,115)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3"/>
              </w:rPr>
              <w:t>Less: other comprehensive (income)loss attributable to noncontrolling interests</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Balance at January 31, 2016</w:t>
            </w:r>
          </w:p>
        </w:tc>
        <w:tc>
          <w:tcPr>
            <w:tcW w:w="2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(27,118)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b w:val="1"/>
                <w:bCs w:val="1"/>
                <w:color w:val="auto"/>
              </w:rPr>
              <w:t>Three Months Ended February 1, 2015</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8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2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 2014</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(20,106)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19"/>
                <w:szCs w:val="19"/>
                <w:color w:val="auto"/>
              </w:rPr>
            </w:pP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current period other comprehensive</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(loss)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2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88"/>
              </w:rPr>
              <w:t>Less: other comprehensive (income) loss</w:t>
            </w:r>
          </w:p>
        </w:tc>
        <w:tc>
          <w:tcPr>
            <w:tcW w:w="2940" w:type="dxa"/>
            <w:vAlign w:val="bottom"/>
          </w:tcPr>
          <w:p>
            <w:pPr>
              <w:ind w:left="80"/>
              <w:spacing w:after="0" w:line="201" w:lineRule="exact"/>
              <w:rPr>
                <w:sz w:val="20"/>
                <w:szCs w:val="20"/>
                <w:color w:val="auto"/>
              </w:rPr>
            </w:pPr>
            <w:r>
              <w:rPr>
                <w:rFonts w:ascii="Arial" w:cs="Arial" w:eastAsia="Arial" w:hAnsi="Arial"/>
                <w:sz w:val="18"/>
                <w:szCs w:val="18"/>
                <w:color w:val="auto"/>
              </w:rPr>
              <w:t>attributable to noncontrolling</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interests</w:t>
            </w: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Balance at February 1, 2015</w:t>
            </w:r>
          </w:p>
        </w:tc>
        <w:tc>
          <w:tcPr>
            <w:tcW w:w="2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6,424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49" w:lineRule="exact"/>
        <w:rPr>
          <w:sz w:val="20"/>
          <w:szCs w:val="20"/>
          <w:color w:val="auto"/>
        </w:rPr>
      </w:pPr>
    </w:p>
    <w:p>
      <w:pPr>
        <w:ind w:right="240" w:firstLine="162"/>
        <w:spacing w:after="0" w:line="249" w:lineRule="auto"/>
        <w:rPr>
          <w:sz w:val="20"/>
          <w:szCs w:val="20"/>
          <w:color w:val="auto"/>
        </w:rPr>
      </w:pPr>
      <w:r>
        <w:rPr>
          <w:rFonts w:ascii="Arial" w:cs="Arial" w:eastAsia="Arial" w:hAnsi="Arial"/>
          <w:sz w:val="21"/>
          <w:szCs w:val="21"/>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January 31, 2016 or November 1, 2015.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 The table below presents the fair and carrying values of the Company’s convertible senior notes at January 31, 2016 and November 1,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480"/>
              <w:spacing w:after="0"/>
              <w:rPr>
                <w:sz w:val="20"/>
                <w:szCs w:val="20"/>
                <w:color w:val="auto"/>
              </w:rPr>
            </w:pPr>
            <w:r>
              <w:rPr>
                <w:rFonts w:ascii="Arial" w:cs="Arial" w:eastAsia="Arial" w:hAnsi="Arial"/>
                <w:sz w:val="18"/>
                <w:szCs w:val="18"/>
                <w:b w:val="1"/>
                <w:bCs w:val="1"/>
                <w:color w:val="auto"/>
              </w:rPr>
              <w:t>January 31, 2016</w:t>
            </w:r>
          </w:p>
        </w:tc>
        <w:tc>
          <w:tcPr>
            <w:tcW w:w="140" w:type="dxa"/>
            <w:vAlign w:val="bottom"/>
          </w:tcPr>
          <w:p>
            <w:pPr>
              <w:spacing w:after="0"/>
              <w:rPr>
                <w:sz w:val="20"/>
                <w:szCs w:val="20"/>
                <w:color w:val="auto"/>
              </w:rPr>
            </w:pPr>
          </w:p>
        </w:tc>
        <w:tc>
          <w:tcPr>
            <w:tcW w:w="2460" w:type="dxa"/>
            <w:vAlign w:val="bottom"/>
            <w:gridSpan w:val="6"/>
          </w:tcPr>
          <w:p>
            <w:pPr>
              <w:ind w:left="420"/>
              <w:spacing w:after="0"/>
              <w:rPr>
                <w:sz w:val="20"/>
                <w:szCs w:val="20"/>
                <w:color w:val="auto"/>
              </w:rPr>
            </w:pPr>
            <w:r>
              <w:rPr>
                <w:rFonts w:ascii="Arial" w:cs="Arial" w:eastAsia="Arial" w:hAnsi="Arial"/>
                <w:sz w:val="18"/>
                <w:szCs w:val="18"/>
                <w:b w:val="1"/>
                <w:bCs w:val="1"/>
                <w:color w:val="auto"/>
              </w:rPr>
              <w:t>November 1,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2016</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3.25% convertible senior notes due 2019</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73,163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64,550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January 31, 2016, the Company had commitments outstanding for capital equipment expenditures of approximately $9 million.</w:t>
      </w:r>
    </w:p>
    <w:p>
      <w:pPr>
        <w:spacing w:after="0" w:line="25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GAIN ON SALE OF INVESTMENT</w:t>
      </w:r>
    </w:p>
    <w:p>
      <w:pPr>
        <w:spacing w:after="0" w:line="256"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Company had a minority interest in a foreign entity. In the first quarter of fiscal year 2016, the Company sold this investment and recognized a gain of $8.8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RECENT ACCOUNTING PRONOUNCEMENTS</w:t>
      </w:r>
    </w:p>
    <w:p>
      <w:pPr>
        <w:spacing w:after="0" w:line="256" w:lineRule="exact"/>
        <w:rPr>
          <w:sz w:val="20"/>
          <w:szCs w:val="20"/>
          <w:color w:val="auto"/>
        </w:rPr>
      </w:pPr>
    </w:p>
    <w:p>
      <w:pPr>
        <w:ind w:right="120" w:firstLine="162"/>
        <w:spacing w:after="0" w:line="279" w:lineRule="auto"/>
        <w:rPr>
          <w:sz w:val="20"/>
          <w:szCs w:val="20"/>
          <w:color w:val="auto"/>
        </w:rPr>
      </w:pPr>
      <w:r>
        <w:rPr>
          <w:rFonts w:ascii="Arial" w:cs="Arial" w:eastAsia="Arial" w:hAnsi="Arial"/>
          <w:sz w:val="17"/>
          <w:szCs w:val="17"/>
          <w:color w:val="auto"/>
        </w:rPr>
        <w:t>In November 2015 the Financial Accounting Standards Board (“FASB”) issued Accounting Standards Update (“ASU”) 2015-17 “Balance Sheet Classification of Deferred Taxes”, which requires that deferred tax liabilities and assets be classified as noncurrent in a classified statement of financial position. This ASU is effective for the Company in its first quarter of fiscal 2018, with early application permitted and, upon adoption, may be applied either prospectively or retrospectively. The Company is currently evaluating the effect this ASU will have on its consolidated financial statements.</w:t>
      </w:r>
    </w:p>
    <w:p>
      <w:pPr>
        <w:spacing w:after="0" w:line="198" w:lineRule="exact"/>
        <w:rPr>
          <w:sz w:val="20"/>
          <w:szCs w:val="20"/>
          <w:color w:val="auto"/>
        </w:rPr>
      </w:pPr>
    </w:p>
    <w:p>
      <w:pPr>
        <w:ind w:right="140" w:firstLine="162"/>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related to recognized debt liability to be presented in the balance sheet as a direct deduction from that debt liability, consistent with the presentation of a debt discount. This ASU is effective for the Company in its first quarter of fiscal 2017 and, upon adoption, should be applied retrospectively. Early adoption is permitted. The Company is currently evaluating the effect this ASU will have on its consolidated financial statements.</w:t>
      </w:r>
    </w:p>
    <w:p>
      <w:pPr>
        <w:spacing w:after="0" w:line="198" w:lineRule="exact"/>
        <w:rPr>
          <w:sz w:val="20"/>
          <w:szCs w:val="20"/>
          <w:color w:val="auto"/>
        </w:rPr>
      </w:pPr>
    </w:p>
    <w:p>
      <w:pPr>
        <w:ind w:right="80" w:firstLine="162"/>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2019. ASU 2014-09 allows for either full retrospective or modified retrospective adoption. The Company is evaluating the transition method that will be elected and the potential effects of the adoption of ASU 2014-09 on its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2015 year), that may cause actual results to materially differ from these expectations.</w:t>
      </w:r>
    </w:p>
    <w:p>
      <w:pPr>
        <w:spacing w:after="0" w:line="181"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2016 and February 1, 2015</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January 31,</w:t>
            </w:r>
          </w:p>
        </w:tc>
        <w:tc>
          <w:tcPr>
            <w:tcW w:w="11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February 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(72.7)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31, 2016 (Q1-16) and February 1, 2015 (Q1-15)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Q1-15</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line="196" w:lineRule="exact"/>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123.5</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line="197" w:lineRule="exact"/>
              <w:rPr>
                <w:sz w:val="20"/>
                <w:szCs w:val="20"/>
                <w:color w:val="auto"/>
              </w:rPr>
            </w:pPr>
            <w:r>
              <w:rPr>
                <w:rFonts w:ascii="Arial" w:cs="Arial" w:eastAsia="Arial" w:hAnsi="Arial"/>
                <w:sz w:val="13"/>
                <w:szCs w:val="13"/>
                <w:color w:val="auto"/>
              </w:rPr>
              <w:t>5.2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sales for Q1-16 increased 5.2% to $130.0 million as compared to $123.5 million for Q1-15. The increase was primarily the result of increased high-end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sales of both FPD and IC photomasks, which was partially offset by lower mainstream IC sales. Revenues attributable to high-end products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 million to $65.1 million in Q1-16 as compared to $51.7 million in Q1-15. High-end photomask applications, which typically have higher ASPs, include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mask sets for 45 nanometer and below for IC products, and G8 and above and active matrix organic light-emitting diode (AMOLED) display screen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technologies for FPD products. By geographic area, net sales in Q1-16 as compared to Q1-15 increased (decreased) by $(3.0) million or 5.7 % to $48.8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Taiwan, $0.4 million or 1.2 % to $36.0 million in Korea, $9.8 million or 36.2 % to $36.8 million in the United States and $(0.6) million or 6.9 %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$7.9 million in Europe.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27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Q1-16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Q1-15</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28.2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22.8%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Gross margin percentage increased to 27.3% in Q1-16 as compared to 22.8% in Q1-15. This increase was primarily due to increased high-end sales. The Company operates in a high fixed cost environment and, to the extent that the Company’s revenues and utilization increase or decrease, gross margin will generally be positively or negatively impacted.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Selling, General and Administrative Expenses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Q1-15</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340" w:firstLine="162"/>
        <w:spacing w:after="0" w:line="251" w:lineRule="auto"/>
        <w:rPr>
          <w:sz w:val="20"/>
          <w:szCs w:val="20"/>
          <w:color w:val="auto"/>
        </w:rPr>
      </w:pPr>
      <w:r>
        <w:rPr>
          <w:rFonts w:ascii="Arial" w:cs="Arial" w:eastAsia="Arial" w:hAnsi="Arial"/>
          <w:sz w:val="22"/>
          <w:szCs w:val="22"/>
          <w:color w:val="auto"/>
        </w:rPr>
        <w:t>Selling, general and administrative expenses increased $0.3 million to $12.2 million in Q1-16 as compared to $11.9 million in Q1-15. This increase was primarily due to increased compensation and benefits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Q1-16</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Q1-15</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18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to $5.7 million in Q1-16, as compared to $4.7 million in Q1-15, primarily due to increased activities at advanced nanometer technology nodes for IC photomasks.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Q1-16 the Company sold a minority interest investment in a foreign entity and recognized a gain of $8.8 million.</w:t>
      </w:r>
    </w:p>
    <w:p>
      <w:pPr>
        <w:spacing w:after="0" w:line="252"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Interest expense decreased in Q1-16 as compared to Q1-15, primarily due to reduced average outstanding debt balances in Q1-16 as compared to Q1-15. Interest and other income (expense), net increased in Q1-16 as compared to Q1-15 primarily as a result of increased foreign currency gains in Q1-16 and financing expenses related to the Company’s exchange of convertible debt in Q1-15.</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Q1-16</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2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162"/>
        <w:spacing w:after="0" w:line="302" w:lineRule="auto"/>
        <w:rPr>
          <w:sz w:val="20"/>
          <w:szCs w:val="20"/>
          <w:color w:val="auto"/>
        </w:rPr>
      </w:pPr>
      <w:r>
        <w:rPr>
          <w:rFonts w:ascii="Arial" w:cs="Arial" w:eastAsia="Arial" w:hAnsi="Arial"/>
          <w:sz w:val="16"/>
          <w:szCs w:val="16"/>
          <w:color w:val="auto"/>
        </w:rPr>
        <w:t>The Company’s effective income tax rate is sensitive to the jurisdictional mix of earnings, due in part to the non-recognition of tax benefits on losses in jurisdictions with valuation allowances. The effective income tax rate decreased in Q1-16, as compared with Q1-15, which was primarily attributable to a higher percentage of income before income taxes, including the $8.8 million gain on sale of investment in Q1-16, generated in jurisdictions where the company previously incurred losses that, due to valuation allowances, did not result in the Company recognizing tax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600" w:firstLine="162"/>
        <w:spacing w:after="0" w:line="277" w:lineRule="auto"/>
        <w:rPr>
          <w:sz w:val="20"/>
          <w:szCs w:val="20"/>
          <w:color w:val="auto"/>
        </w:rPr>
      </w:pPr>
      <w:r>
        <w:rPr>
          <w:rFonts w:ascii="Arial" w:cs="Arial" w:eastAsia="Arial" w:hAnsi="Arial"/>
          <w:sz w:val="18"/>
          <w:szCs w:val="18"/>
          <w:color w:val="auto"/>
        </w:rPr>
        <w:t>Net income attributable to noncontrolling interests decreased to $2.5 million in Q1-16 as compared to $3.3 million in Q1-15, primarily as a result of decreased net income at the Company’s IC manufacturing facility in Taiwan.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The Company’s working capital increased to $206.6 million at January 31, 2016 as compared to $171.4 million at November 1, 2015, and cash and cash equivalents increased to $231.4 million at January 31, 2016 as compared to $205.9 million at November 1, 2015. The increases in working capital and cash and cash equivalents was primarily due to cash provided by operating activities and $8.8 million in proceeds from the sale of an investment in a foreign entity. Net cash provided by operating activities was $43.4 million for the three months ended January 31, 2016, as compared to $22.3 million for the three months ended February 1, 2015, the increase primarily due to increased net income. Net cash used in investing activities for the three months ended January 31, 2016, was $12.6 million, which was comprised primarily of capital expenditure payments, partially offset by proceeds of $8.8 million received from the sale of an investment. Net cash used in financing activities of $0.4 million for the three months ended January 31, 2016, was comprised of repayments of long-term borrowings of $2.4 million, offset by proceeds of $2.1 million received from exercises of employee stock options. The Company may use its cash available on hand for operations, capital expenditures, debt repayments, strategic opportunities, stock repurchases or other corporate uses, any of which may be material.</w:t>
      </w:r>
    </w:p>
    <w:p>
      <w:pPr>
        <w:spacing w:after="0" w:line="222"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As of January 31, 2016 and November 1, 2015, the Company’s total cash and cash equivalents include $117.6 million and $102.9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In March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January 18, 2016,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if any. The technology license agreement commenced in March 2015 and continues through the earlier of one year from the termination of the initial technology license agreement, which will occur on May 5, 2016, or when Micron certifies that it has transferred certain defined technology to the Company. The Company forevermore has the rights to use the technology obtained under these technology license agreements.</w:t>
      </w:r>
    </w:p>
    <w:p>
      <w:pPr>
        <w:spacing w:after="0" w:line="209"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January 31, 2016. The Company had no outstanding borrowings against the credit facility at January 31, 2016, and $50 million was available for borrowing. The interest rate on the credit facility (1.73% at January 31, 2016) is based on the Company’s total leverage ratio at LIBOR plus a spread, as defined in the credit facility.</w:t>
      </w:r>
    </w:p>
    <w:p>
      <w:pPr>
        <w:spacing w:after="0" w:line="220"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As of January 31, 2016, the Company had capital equipment commitments outstanding of approximately $9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140" w:firstLine="162"/>
        <w:spacing w:after="0" w:line="270" w:lineRule="auto"/>
        <w:rPr>
          <w:sz w:val="20"/>
          <w:szCs w:val="20"/>
          <w:color w:val="auto"/>
        </w:rPr>
      </w:pPr>
      <w:r>
        <w:rPr>
          <w:rFonts w:ascii="Arial" w:cs="Arial" w:eastAsia="Arial" w:hAnsi="Arial"/>
          <w:sz w:val="17"/>
          <w:szCs w:val="17"/>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February 1, 2015, the Company has contributed $32.5 million to the joint venture, and has received distributions from the joint venture totaling $10.0 million. On March 24, 2015, the Company announced that the MP Mask joint venture would not be renewed after May 5, 2016.</w:t>
      </w:r>
    </w:p>
    <w:p>
      <w:pPr>
        <w:spacing w:after="0" w:line="214"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Under the PDMC joint venture operating agreement the shareholders of PDMC may be requested to make additional contributions to PDMC. In the event that PDMC requests additional capital from its shareholders, the Company may be required to make additional capital contributions to the joint venture in order to maintain its 50.01% ownership. The PDMC operating agreement limits the amount of contributions that may be requested during both PDMC’s first four years and during any individual year within those first four years. As of January 31, 2016, the Company had not been requested to and did not make any additional capital contributions to PDMC.</w:t>
      </w:r>
    </w:p>
    <w:p>
      <w:pPr>
        <w:spacing w:after="0" w:line="215" w:lineRule="exact"/>
        <w:rPr>
          <w:sz w:val="20"/>
          <w:szCs w:val="20"/>
          <w:color w:val="auto"/>
        </w:rPr>
      </w:pPr>
    </w:p>
    <w:p>
      <w:pPr>
        <w:ind w:right="280" w:firstLine="162"/>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40" w:firstLine="162"/>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13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 The Company also engages in transactions and holds balances in Japanese yen.</w:t>
      </w:r>
    </w:p>
    <w:p>
      <w:pPr>
        <w:spacing w:after="0" w:line="215"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or the Korean won. In some instances, the Company sells products in a currency other than the functional currency of the country where it was produced or purchases products in a currency that differs from the functional currency of the manufacturing facility.</w:t>
      </w:r>
    </w:p>
    <w:p>
      <w:pPr>
        <w:spacing w:after="0" w:line="20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Company’s primary net foreign currency exposures as of January 31, 2016, included the Korean won, the Japanese yen, the New Taiwan dollar, the Singapore dollar, the British pound and the euro. As of January 31, 2016, a 10% adverse movement in the value of these currencies against the functional currencies of the foreign subsidiaries would have resulted in a net unrealized pre-tax loss of $6.9 million. The Company does not believe that a 10% change in the exchange rates would have a material effect on its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At January 31, 2016, the Company did not have any variable rate borrowings. A 10% change in interest rates would not have had a material effect on the Company’s consolidated financial position, results of operations, or cash flows in the three month period ended January 31, 2016.</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6"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2016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1, 2015</w:t>
      </w:r>
      <w:r>
        <w:rPr>
          <w:rFonts w:ascii="Arial" w:cs="Arial" w:eastAsia="Arial" w:hAnsi="Arial"/>
          <w:sz w:val="18"/>
          <w:szCs w:val="18"/>
          <w:b w:val="1"/>
          <w:bCs w:val="1"/>
          <w:color w:val="auto"/>
        </w:rPr>
        <w:t>.</w:t>
      </w:r>
    </w:p>
    <w:p>
      <w:pPr>
        <w:spacing w:after="0" w:line="19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ind w:left="1620"/>
              <w:spacing w:after="0"/>
              <w:rPr>
                <w:sz w:val="20"/>
                <w:szCs w:val="20"/>
                <w:color w:val="auto"/>
              </w:rPr>
            </w:pPr>
            <w:r>
              <w:rPr>
                <w:rFonts w:ascii="Arial" w:cs="Arial" w:eastAsia="Arial" w:hAnsi="Arial"/>
                <w:sz w:val="18"/>
                <w:szCs w:val="18"/>
                <w:color w:val="auto"/>
              </w:rPr>
              <w:t>(a)</w:t>
            </w:r>
          </w:p>
        </w:tc>
        <w:tc>
          <w:tcPr>
            <w:tcW w:w="1860" w:type="dxa"/>
            <w:vAlign w:val="bottom"/>
            <w:gridSpan w:val="4"/>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0"/>
                <w:szCs w:val="20"/>
                <w:color w:val="auto"/>
              </w:rPr>
            </w:pPr>
          </w:p>
        </w:tc>
        <w:tc>
          <w:tcPr>
            <w:tcW w:w="648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1860" w:type="dxa"/>
            <w:vAlign w:val="bottom"/>
            <w:gridSpan w:val="4"/>
          </w:tcPr>
          <w:p>
            <w:pPr>
              <w:ind w:left="36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194"/>
        </w:trPr>
        <w:tc>
          <w:tcPr>
            <w:tcW w:w="2180" w:type="dxa"/>
            <w:vAlign w:val="bottom"/>
          </w:tcPr>
          <w:p>
            <w:pPr>
              <w:spacing w:after="0"/>
              <w:rPr>
                <w:sz w:val="16"/>
                <w:szCs w:val="16"/>
                <w:color w:val="auto"/>
              </w:rPr>
            </w:pPr>
          </w:p>
        </w:tc>
        <w:tc>
          <w:tcPr>
            <w:tcW w:w="1860" w:type="dxa"/>
            <w:vAlign w:val="bottom"/>
            <w:gridSpan w:val="4"/>
          </w:tcPr>
          <w:p>
            <w:pPr>
              <w:ind w:left="360"/>
              <w:spacing w:after="0" w:line="194" w:lineRule="exact"/>
              <w:rPr>
                <w:sz w:val="20"/>
                <w:szCs w:val="20"/>
                <w:color w:val="auto"/>
              </w:rPr>
            </w:pPr>
            <w:r>
              <w:rPr>
                <w:rFonts w:ascii="Arial" w:cs="Arial" w:eastAsia="Arial" w:hAnsi="Arial"/>
                <w:sz w:val="18"/>
                <w:szCs w:val="18"/>
                <w:b w:val="1"/>
                <w:bCs w:val="1"/>
                <w:color w:val="auto"/>
              </w:rPr>
              <w:t>Number</w:t>
            </w:r>
          </w:p>
        </w:tc>
        <w:tc>
          <w:tcPr>
            <w:tcW w:w="73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480" w:type="dxa"/>
            <w:vAlign w:val="bottom"/>
          </w:tcPr>
          <w:p>
            <w:pPr>
              <w:spacing w:after="0"/>
              <w:rPr>
                <w:sz w:val="20"/>
                <w:szCs w:val="20"/>
                <w:color w:val="auto"/>
              </w:rPr>
            </w:pPr>
          </w:p>
        </w:tc>
      </w:tr>
      <w:tr>
        <w:trPr>
          <w:trHeight w:val="176"/>
        </w:trPr>
        <w:tc>
          <w:tcPr>
            <w:tcW w:w="2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3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60" w:type="dxa"/>
            <w:vAlign w:val="bottom"/>
            <w:shd w:val="clear" w:color="auto" w:fill="CCEEFF"/>
          </w:tcPr>
          <w:p>
            <w:pPr>
              <w:spacing w:after="0"/>
              <w:rPr>
                <w:sz w:val="15"/>
                <w:szCs w:val="15"/>
                <w:color w:val="auto"/>
              </w:rPr>
            </w:pPr>
          </w:p>
        </w:tc>
        <w:tc>
          <w:tcPr>
            <w:tcW w:w="7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Certification of Chief Executive Officer pursuant to Rule 13a-14(a)/15d-14(a) of the Securities</w:t>
            </w:r>
          </w:p>
        </w:tc>
      </w:tr>
      <w:tr>
        <w:trPr>
          <w:trHeight w:val="237"/>
        </w:trPr>
        <w:tc>
          <w:tcPr>
            <w:tcW w:w="2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Exchange Act of 1934, as adopted pursuant to Section 302 of the Sarbanes-Oxley Act of 2002.</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176"/>
        </w:trPr>
        <w:tc>
          <w:tcPr>
            <w:tcW w:w="2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3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60" w:type="dxa"/>
            <w:vAlign w:val="bottom"/>
            <w:shd w:val="clear" w:color="auto" w:fill="CCEEFF"/>
          </w:tcPr>
          <w:p>
            <w:pPr>
              <w:spacing w:after="0"/>
              <w:rPr>
                <w:sz w:val="15"/>
                <w:szCs w:val="15"/>
                <w:color w:val="auto"/>
              </w:rPr>
            </w:pPr>
          </w:p>
        </w:tc>
        <w:tc>
          <w:tcPr>
            <w:tcW w:w="7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Financial Officer pursuant to Rule 13a-14(a)/15d-14(a) of the Securities</w:t>
            </w:r>
          </w:p>
        </w:tc>
      </w:tr>
      <w:tr>
        <w:trPr>
          <w:trHeight w:val="237"/>
        </w:trPr>
        <w:tc>
          <w:tcPr>
            <w:tcW w:w="2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Exchange Act of 1934, as adopted pursuant to Section 302 of the Sarbanes-Oxley Act of 2002.</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176"/>
        </w:trPr>
        <w:tc>
          <w:tcPr>
            <w:tcW w:w="2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3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60" w:type="dxa"/>
            <w:vAlign w:val="bottom"/>
            <w:shd w:val="clear" w:color="auto" w:fill="CCEEFF"/>
          </w:tcPr>
          <w:p>
            <w:pPr>
              <w:spacing w:after="0"/>
              <w:rPr>
                <w:sz w:val="15"/>
                <w:szCs w:val="15"/>
                <w:color w:val="auto"/>
              </w:rPr>
            </w:pPr>
          </w:p>
        </w:tc>
        <w:tc>
          <w:tcPr>
            <w:tcW w:w="7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w:t>
            </w:r>
          </w:p>
        </w:tc>
      </w:tr>
      <w:tr>
        <w:trPr>
          <w:trHeight w:val="237"/>
        </w:trPr>
        <w:tc>
          <w:tcPr>
            <w:tcW w:w="2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176"/>
        </w:trPr>
        <w:tc>
          <w:tcPr>
            <w:tcW w:w="2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3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60" w:type="dxa"/>
            <w:vAlign w:val="bottom"/>
            <w:shd w:val="clear" w:color="auto" w:fill="CCEEFF"/>
          </w:tcPr>
          <w:p>
            <w:pPr>
              <w:spacing w:after="0"/>
              <w:rPr>
                <w:sz w:val="15"/>
                <w:szCs w:val="15"/>
                <w:color w:val="auto"/>
              </w:rPr>
            </w:pPr>
          </w:p>
        </w:tc>
        <w:tc>
          <w:tcPr>
            <w:tcW w:w="7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Chief Financial Officer pursuant to 18 U.S.C. Section 1350 as adopted pursuant to</w:t>
            </w:r>
          </w:p>
        </w:tc>
      </w:tr>
      <w:tr>
        <w:trPr>
          <w:trHeight w:val="237"/>
        </w:trPr>
        <w:tc>
          <w:tcPr>
            <w:tcW w:w="21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101.INS</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101.SCH</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101.CAL</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101.DEF</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101.LAB</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101.PRE</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SIGNATURES</w:t>
            </w:r>
          </w:p>
        </w:tc>
      </w:tr>
    </w:tbl>
    <w:p>
      <w:pPr>
        <w:spacing w:after="0" w:line="222" w:lineRule="exact"/>
        <w:rPr>
          <w:sz w:val="20"/>
          <w:szCs w:val="20"/>
          <w:color w:val="auto"/>
        </w:rPr>
      </w:pPr>
    </w:p>
    <w:p>
      <w:pPr>
        <w:jc w:val="both"/>
        <w:ind w:right="20" w:firstLine="16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1300" w:right="600" w:hanging="1292"/>
        <w:spacing w:after="0" w:line="277"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Quarterly Report on Form 10-Q of the Company for the quarter ended January 31, 2016, (the "Report") fully complies with the requirements of Section 13(a) or 15(d) of the Securities Exchange Act of 1934; and</w:t>
      </w:r>
    </w:p>
    <w:p>
      <w:pPr>
        <w:spacing w:after="0" w:line="197" w:lineRule="exact"/>
        <w:rPr>
          <w:rFonts w:ascii="Arial" w:cs="Arial" w:eastAsia="Arial" w:hAnsi="Arial"/>
          <w:sz w:val="18"/>
          <w:szCs w:val="18"/>
          <w:b w:val="1"/>
          <w:bCs w:val="1"/>
          <w:color w:val="auto"/>
        </w:rPr>
      </w:pPr>
    </w:p>
    <w:p>
      <w:pPr>
        <w:ind w:left="1300" w:right="400" w:hanging="1292"/>
        <w:spacing w:after="0" w:line="277"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1300" w:right="600" w:hanging="129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31,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400" w:hanging="129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2019-12-29T13:18:42Z</dcterms:created>
  <dcterms:modified xsi:type="dcterms:W3CDTF">2019-12-29T13:18:42Z</dcterms:modified>
</cp:coreProperties>
</file>