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6"/>
        <w:gridCol w:w="3459"/>
      </w:tblGrid>
      <w:tr>
        <w:trPr/>
        <w:tc>
          <w:tcPr>
            <w:tcW w:w="6746" w:type="dxa"/>
            <w:tcBorders/>
            <w:vAlign w:val="center"/>
          </w:tcPr>
          <w:p>
            <w:pPr>
              <w:pStyle w:val="TableContents"/>
              <w:bidi w:val="0"/>
              <w:spacing w:before="0" w:after="283"/>
              <w:jc w:val="left"/>
              <w:rPr/>
            </w:pPr>
            <w:r>
              <w:rPr/>
              <w:t>Name of Issuer</w:t>
            </w:r>
          </w:p>
        </w:tc>
        <w:tc>
          <w:tcPr>
            <w:tcW w:w="3459" w:type="dxa"/>
            <w:tcBorders/>
            <w:vAlign w:val="center"/>
          </w:tcPr>
          <w:p>
            <w:pPr>
              <w:pStyle w:val="TableContents"/>
              <w:bidi w:val="0"/>
              <w:spacing w:before="0" w:after="0"/>
              <w:jc w:val="left"/>
              <w:rPr/>
            </w:pPr>
            <w:r>
              <w:rPr/>
              <w:t>PHOTRONICS INC</w:t>
            </w:r>
          </w:p>
        </w:tc>
      </w:tr>
      <w:tr>
        <w:trPr/>
        <w:tc>
          <w:tcPr>
            <w:tcW w:w="6746" w:type="dxa"/>
            <w:tcBorders/>
            <w:vAlign w:val="center"/>
          </w:tcPr>
          <w:p>
            <w:pPr>
              <w:pStyle w:val="TableContents"/>
              <w:bidi w:val="0"/>
              <w:spacing w:before="0" w:after="283"/>
              <w:jc w:val="left"/>
              <w:rPr/>
            </w:pPr>
            <w:r>
              <w:rPr/>
              <w:t>SEC File Number</w:t>
            </w:r>
          </w:p>
        </w:tc>
        <w:tc>
          <w:tcPr>
            <w:tcW w:w="3459" w:type="dxa"/>
            <w:tcBorders/>
            <w:vAlign w:val="center"/>
          </w:tcPr>
          <w:p>
            <w:pPr>
              <w:pStyle w:val="TableContents"/>
              <w:bidi w:val="0"/>
              <w:spacing w:before="0" w:after="0"/>
              <w:jc w:val="left"/>
              <w:rPr/>
            </w:pPr>
            <w:r>
              <w:rPr/>
              <w:t>001-39063</w:t>
            </w:r>
          </w:p>
        </w:tc>
      </w:tr>
      <w:tr>
        <w:trPr/>
        <w:tc>
          <w:tcPr>
            <w:tcW w:w="6746" w:type="dxa"/>
            <w:tcBorders/>
            <w:vAlign w:val="center"/>
          </w:tcPr>
          <w:p>
            <w:pPr>
              <w:pStyle w:val="TableContents"/>
              <w:bidi w:val="0"/>
              <w:spacing w:before="0" w:after="283"/>
              <w:jc w:val="left"/>
              <w:rPr/>
            </w:pPr>
            <w:r>
              <w:rPr/>
              <w:t>Address of Issuer</w:t>
            </w:r>
          </w:p>
        </w:tc>
        <w:tc>
          <w:tcPr>
            <w:tcW w:w="3459" w:type="dxa"/>
            <w:tcBorders/>
            <w:vAlign w:val="center"/>
          </w:tcPr>
          <w:p>
            <w:pPr>
              <w:pStyle w:val="TableContents"/>
              <w:bidi w:val="0"/>
              <w:spacing w:before="0" w:after="0"/>
              <w:jc w:val="left"/>
              <w:rPr/>
            </w:pPr>
            <w:r>
              <w:rPr/>
              <w:t>15 SECOR ROAD</w:t>
              <w:br/>
              <w:t>PO BOX 5226</w:t>
              <w:br/>
              <w:t>BROOKFIELD</w:t>
              <w:br/>
              <w:t xml:space="preserve">CONNECTICUT </w:t>
              <w:br/>
              <w:t>06804</w:t>
            </w:r>
          </w:p>
        </w:tc>
      </w:tr>
      <w:tr>
        <w:trPr/>
        <w:tc>
          <w:tcPr>
            <w:tcW w:w="6746" w:type="dxa"/>
            <w:tcBorders/>
            <w:vAlign w:val="center"/>
          </w:tcPr>
          <w:p>
            <w:pPr>
              <w:pStyle w:val="TableContents"/>
              <w:bidi w:val="0"/>
              <w:spacing w:before="0" w:after="283"/>
              <w:jc w:val="left"/>
              <w:rPr/>
            </w:pPr>
            <w:r>
              <w:rPr/>
              <w:t>Phone</w:t>
            </w:r>
          </w:p>
        </w:tc>
        <w:tc>
          <w:tcPr>
            <w:tcW w:w="3459" w:type="dxa"/>
            <w:tcBorders/>
            <w:vAlign w:val="center"/>
          </w:tcPr>
          <w:p>
            <w:pPr>
              <w:pStyle w:val="TableContents"/>
              <w:bidi w:val="0"/>
              <w:spacing w:before="0" w:after="0"/>
              <w:jc w:val="left"/>
              <w:rPr/>
            </w:pPr>
            <w:r>
              <w:rPr/>
              <w:t>2037759000</w:t>
            </w:r>
          </w:p>
        </w:tc>
      </w:tr>
      <w:tr>
        <w:trPr/>
        <w:tc>
          <w:tcPr>
            <w:tcW w:w="6746" w:type="dxa"/>
            <w:tcBorders/>
            <w:vAlign w:val="center"/>
          </w:tcPr>
          <w:p>
            <w:pPr>
              <w:pStyle w:val="TableContents"/>
              <w:bidi w:val="0"/>
              <w:spacing w:before="0" w:after="283"/>
              <w:jc w:val="left"/>
              <w:rPr/>
            </w:pPr>
            <w:r>
              <w:rPr/>
              <w:t>Name of Person for Whose Account the Securities are To Be Sold</w:t>
            </w:r>
          </w:p>
        </w:tc>
        <w:tc>
          <w:tcPr>
            <w:tcW w:w="3459" w:type="dxa"/>
            <w:tcBorders/>
            <w:vAlign w:val="center"/>
          </w:tcPr>
          <w:p>
            <w:pPr>
              <w:pStyle w:val="TableContents"/>
              <w:bidi w:val="0"/>
              <w:spacing w:before="0" w:after="0"/>
              <w:jc w:val="left"/>
              <w:rPr/>
            </w:pPr>
            <w:r>
              <w:rPr/>
              <w:t>Lee Kang Jyh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Officer</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202657.00</w:t>
            </w:r>
          </w:p>
        </w:tc>
        <w:tc>
          <w:tcPr>
            <w:tcW w:w="1552" w:type="dxa"/>
            <w:tcBorders/>
            <w:vAlign w:val="center"/>
          </w:tcPr>
          <w:p>
            <w:pPr>
              <w:pStyle w:val="TableContents"/>
              <w:bidi w:val="0"/>
              <w:spacing w:before="0" w:after="283"/>
              <w:jc w:val="left"/>
              <w:rPr/>
            </w:pPr>
            <w:r>
              <w:rPr/>
              <w:t>58966394</w:t>
            </w:r>
          </w:p>
        </w:tc>
        <w:tc>
          <w:tcPr>
            <w:tcW w:w="1567" w:type="dxa"/>
            <w:tcBorders/>
            <w:vAlign w:val="center"/>
          </w:tcPr>
          <w:p>
            <w:pPr>
              <w:pStyle w:val="TableContents"/>
              <w:bidi w:val="0"/>
              <w:spacing w:before="0" w:after="283"/>
              <w:jc w:val="left"/>
              <w:rPr/>
            </w:pPr>
            <w:r>
              <w:rPr/>
              <w:t>04/06/2026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04/06/2026</w:t>
            </w:r>
          </w:p>
        </w:tc>
        <w:tc>
          <w:tcPr>
            <w:tcW w:w="1505" w:type="dxa"/>
            <w:tcBorders/>
            <w:vAlign w:val="center"/>
          </w:tcPr>
          <w:p>
            <w:pPr>
              <w:pStyle w:val="TableContents"/>
              <w:bidi w:val="0"/>
              <w:spacing w:before="0" w:after="283"/>
              <w:jc w:val="left"/>
              <w:rPr/>
            </w:pPr>
            <w:r>
              <w:rPr/>
              <w:t>Option Granted - 01/02/2018</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04/06/2026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01/06/2026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354058.32</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01/07/2026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348285.03</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01/12/2026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330500.00</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01/13/2026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344156.58</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01/15/2026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341360.00</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01/16/2026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345090.55</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03/19/2026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358024.17</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03/23/2026</w:t>
            </w:r>
          </w:p>
        </w:tc>
        <w:tc>
          <w:tcPr>
            <w:tcW w:w="1563" w:type="dxa"/>
            <w:tcBorders/>
            <w:vAlign w:val="center"/>
          </w:tcPr>
          <w:p>
            <w:pPr>
              <w:pStyle w:val="TableContents"/>
              <w:bidi w:val="0"/>
              <w:spacing w:before="0" w:after="283"/>
              <w:jc w:val="left"/>
              <w:rPr/>
            </w:pPr>
            <w:r>
              <w:rPr/>
              <w:t>10000</w:t>
            </w:r>
          </w:p>
        </w:tc>
        <w:tc>
          <w:tcPr>
            <w:tcW w:w="1762" w:type="dxa"/>
            <w:tcBorders/>
            <w:vAlign w:val="center"/>
          </w:tcPr>
          <w:p>
            <w:pPr>
              <w:pStyle w:val="TableContents"/>
              <w:bidi w:val="0"/>
              <w:spacing w:before="0" w:after="283"/>
              <w:jc w:val="left"/>
              <w:rPr/>
            </w:pPr>
            <w:r>
              <w:rPr/>
              <w:t>390000.00</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03/26/2026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204000.00</w:t>
            </w:r>
          </w:p>
        </w:tc>
      </w:tr>
      <w:tr>
        <w:trPr/>
        <w:tc>
          <w:tcPr>
            <w:tcW w:w="2989" w:type="dxa"/>
            <w:tcBorders/>
            <w:vAlign w:val="center"/>
          </w:tcPr>
          <w:p>
            <w:pPr>
              <w:pStyle w:val="TableContents"/>
              <w:bidi w:val="0"/>
              <w:spacing w:before="0" w:after="283"/>
              <w:jc w:val="left"/>
              <w:rPr/>
            </w:pPr>
            <w:r>
              <w:rPr/>
              <w:t>Frank K. Lee</w:t>
              <w:br/>
              <w:t>15 Secor Road</w:t>
              <w:br/>
              <w:t>Brookfield   CT   06804</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04/01/2026</w:t>
            </w:r>
          </w:p>
        </w:tc>
        <w:tc>
          <w:tcPr>
            <w:tcW w:w="1563" w:type="dxa"/>
            <w:tcBorders/>
            <w:vAlign w:val="center"/>
          </w:tcPr>
          <w:p>
            <w:pPr>
              <w:pStyle w:val="TableContents"/>
              <w:bidi w:val="0"/>
              <w:spacing w:before="0" w:after="283"/>
              <w:jc w:val="left"/>
              <w:rPr/>
            </w:pPr>
            <w:r>
              <w:rPr/>
              <w:t>5000</w:t>
            </w:r>
          </w:p>
        </w:tc>
        <w:tc>
          <w:tcPr>
            <w:tcW w:w="1762" w:type="dxa"/>
            <w:tcBorders/>
            <w:vAlign w:val="center"/>
          </w:tcPr>
          <w:p>
            <w:pPr>
              <w:pStyle w:val="TableContents"/>
              <w:bidi w:val="0"/>
              <w:spacing w:before="0" w:after="283"/>
              <w:jc w:val="left"/>
              <w:rPr/>
            </w:pPr>
            <w:r>
              <w:rPr/>
              <w:t>210000.00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pPr>
            <w:r>
              <w:rPr/>
              <w:t>Remarks</w:t>
            </w:r>
          </w:p>
        </w:tc>
        <w:tc>
          <w:tcPr>
            <w:tcW w:w="8431" w:type="dxa"/>
            <w:tcBorders/>
            <w:vAlign w:val="center"/>
          </w:tcPr>
          <w:p>
            <w:pPr>
              <w:pStyle w:val="TableContents"/>
              <w:bidi w:val="0"/>
              <w:spacing w:before="0" w:after="0"/>
              <w:jc w:val="left"/>
              <w:rPr/>
            </w:pPr>
            <w:r>
              <w:rPr/>
              <w:t>Kang Jyh Lee and Frank K. Lee are one and the same person.</w:t>
            </w:r>
          </w:p>
        </w:tc>
      </w:tr>
      <w:tr>
        <w:trPr/>
        <w:tc>
          <w:tcPr>
            <w:tcW w:w="1774" w:type="dxa"/>
            <w:tcBorders/>
            <w:vAlign w:val="center"/>
          </w:tcPr>
          <w:p>
            <w:pPr>
              <w:pStyle w:val="TableContents"/>
              <w:bidi w:val="0"/>
              <w:spacing w:before="0" w:after="283"/>
              <w:jc w:val="left"/>
              <w:rPr/>
            </w:pPr>
            <w:r>
              <w:rPr/>
              <w:t>Date of Notice</w:t>
            </w:r>
          </w:p>
        </w:tc>
        <w:tc>
          <w:tcPr>
            <w:tcW w:w="8431" w:type="dxa"/>
            <w:tcBorders/>
            <w:vAlign w:val="center"/>
          </w:tcPr>
          <w:p>
            <w:pPr>
              <w:pStyle w:val="TableContents"/>
              <w:bidi w:val="0"/>
              <w:spacing w:before="0" w:after="0"/>
              <w:jc w:val="left"/>
              <w:rPr/>
            </w:pPr>
            <w:r>
              <w:rPr/>
              <w:t>04/06/2026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4" w:type="dxa"/>
            <w:tcBorders/>
            <w:vAlign w:val="center"/>
          </w:tcPr>
          <w:p>
            <w:pPr>
              <w:pStyle w:val="TableContents"/>
              <w:bidi w:val="0"/>
              <w:spacing w:before="0" w:after="283"/>
              <w:jc w:val="left"/>
              <w:rPr/>
            </w:pPr>
            <w:r>
              <w:rPr/>
              <w:t>Signature</w:t>
            </w:r>
          </w:p>
        </w:tc>
        <w:tc>
          <w:tcPr>
            <w:tcW w:w="8431" w:type="dxa"/>
            <w:tcBorders/>
            <w:vAlign w:val="center"/>
          </w:tcPr>
          <w:p>
            <w:pPr>
              <w:pStyle w:val="TableContents"/>
              <w:bidi w:val="0"/>
              <w:spacing w:before="0" w:after="0"/>
              <w:jc w:val="left"/>
              <w:rPr/>
            </w:pPr>
            <w:r>
              <w:rPr/>
              <w:t>/s/ Daniel Tucci, as a duly authorized representative of Fidelity Brokerage Services LLC, as attorney-in-fact for Frank K.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3791</Characters>
  <CharactersWithSpaces>4470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