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940" w:right="1560" w:hanging="3932"/>
        <w:spacing w:after="0" w:line="266" w:lineRule="auto"/>
        <w:tabs>
          <w:tab w:leader="none" w:pos="49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May 4, 2025</w:t>
      </w:r>
    </w:p>
    <w:p>
      <w:pPr>
        <w:spacing w:after="0" w:line="172" w:lineRule="exact"/>
        <w:rPr>
          <w:sz w:val="24"/>
          <w:szCs w:val="24"/>
          <w:color w:val="auto"/>
        </w:rPr>
      </w:pPr>
    </w:p>
    <w:p>
      <w:pPr>
        <w:ind w:left="4040" w:right="1540" w:hanging="4032"/>
        <w:spacing w:after="0" w:line="500" w:lineRule="auto"/>
        <w:tabs>
          <w:tab w:leader="none" w:pos="4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9"/>
                <w:szCs w:val="19"/>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4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840" w:type="dxa"/>
            <w:vAlign w:val="bottom"/>
          </w:tcPr>
          <w:p>
            <w:pPr>
              <w:spacing w:after="0"/>
              <w:rPr>
                <w:sz w:val="20"/>
                <w:szCs w:val="20"/>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PLAB</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7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Emerging</w:t>
            </w:r>
          </w:p>
        </w:tc>
      </w:tr>
      <w:tr>
        <w:trPr>
          <w:trHeight w:val="180"/>
        </w:trPr>
        <w:tc>
          <w:tcPr>
            <w:tcW w:w="200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4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760" w:type="dxa"/>
            <w:vAlign w:val="bottom"/>
          </w:tcPr>
          <w:p>
            <w:pPr>
              <w:jc w:val="center"/>
              <w:ind w:left="390"/>
              <w:spacing w:after="0" w:line="181" w:lineRule="exact"/>
              <w:rPr>
                <w:sz w:val="20"/>
                <w:szCs w:val="20"/>
                <w:color w:val="auto"/>
              </w:rPr>
            </w:pPr>
            <w:r>
              <w:rPr>
                <w:rFonts w:ascii="Times New Roman" w:cs="Times New Roman" w:eastAsia="Times New Roman" w:hAnsi="Times New Roman"/>
                <w:sz w:val="18"/>
                <w:szCs w:val="18"/>
                <w:color w:val="auto"/>
                <w:w w:val="98"/>
              </w:rPr>
              <w:t>Growth Company</w:t>
            </w:r>
          </w:p>
        </w:tc>
      </w:tr>
      <w:tr>
        <w:trPr>
          <w:trHeight w:val="303"/>
        </w:trPr>
        <w:tc>
          <w:tcPr>
            <w:tcW w:w="2000" w:type="dxa"/>
            <w:vAlign w:val="bottom"/>
          </w:tcPr>
          <w:p>
            <w:pPr>
              <w:jc w:val="center"/>
              <w:ind w:right="190"/>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4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760" w:type="dxa"/>
            <w:vAlign w:val="bottom"/>
          </w:tcPr>
          <w:p>
            <w:pPr>
              <w:jc w:val="center"/>
              <w:ind w:left="39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60,150,512 shares of common stock outstanding as of June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4,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2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7"/>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872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520" w:type="dxa"/>
            <w:vAlign w:val="bottom"/>
          </w:tcPr>
          <w:p>
            <w:pPr>
              <w:spacing w:after="0"/>
              <w:rPr>
                <w:sz w:val="18"/>
                <w:szCs w:val="18"/>
                <w:color w:val="auto"/>
              </w:rPr>
            </w:pPr>
          </w:p>
        </w:tc>
        <w:tc>
          <w:tcPr>
            <w:tcW w:w="872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CNY</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Chinese Yuan</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FPD</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Flat Panel Display</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FY</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Fiscal Year</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7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refers to the size range of the underlying substrate to which a photomask is</w:t>
            </w:r>
          </w:p>
        </w:tc>
      </w:tr>
      <w:tr>
        <w:trPr>
          <w:trHeight w:val="234"/>
        </w:trPr>
        <w:tc>
          <w:tcPr>
            <w:tcW w:w="2520" w:type="dxa"/>
            <w:vAlign w:val="bottom"/>
          </w:tcPr>
          <w:p>
            <w:pPr>
              <w:spacing w:after="0"/>
              <w:rPr>
                <w:sz w:val="20"/>
                <w:szCs w:val="20"/>
                <w:color w:val="auto"/>
              </w:rPr>
            </w:pP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Higher generation (or “G”) numbers represent larger substrates</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High-end (photomasks)</w:t>
            </w:r>
          </w:p>
        </w:tc>
        <w:tc>
          <w:tcPr>
            <w:tcW w:w="87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For IC, photomasks that service IC nodes at 28nm or smaller; for FPD, AMOLED, G10.5+, and LTPS</w:t>
            </w:r>
          </w:p>
        </w:tc>
      </w:tr>
      <w:tr>
        <w:trPr>
          <w:trHeight w:val="234"/>
        </w:trPr>
        <w:tc>
          <w:tcPr>
            <w:tcW w:w="2520" w:type="dxa"/>
            <w:vAlign w:val="bottom"/>
            <w:shd w:val="clear" w:color="auto" w:fill="CCEEFF"/>
          </w:tcPr>
          <w:p>
            <w:pPr>
              <w:spacing w:after="0"/>
              <w:rPr>
                <w:sz w:val="20"/>
                <w:szCs w:val="20"/>
                <w:color w:val="auto"/>
              </w:rPr>
            </w:pP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photomasks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Integrated circuit</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7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w:t>
            </w:r>
          </w:p>
        </w:tc>
      </w:tr>
      <w:tr>
        <w:trPr>
          <w:trHeight w:val="216"/>
        </w:trPr>
        <w:tc>
          <w:tcPr>
            <w:tcW w:w="2520" w:type="dxa"/>
            <w:vAlign w:val="bottom"/>
            <w:shd w:val="clear" w:color="auto" w:fill="CCEEFF"/>
          </w:tcPr>
          <w:p>
            <w:pPr>
              <w:spacing w:after="0"/>
              <w:rPr>
                <w:sz w:val="18"/>
                <w:szCs w:val="18"/>
                <w:color w:val="auto"/>
              </w:rPr>
            </w:pP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polycrystalline silicon in thin-film transistors (TFTs) are used in liquid-crystal display (LCD) flat panels and to</w:t>
            </w:r>
          </w:p>
        </w:tc>
      </w:tr>
      <w:tr>
        <w:trPr>
          <w:trHeight w:val="234"/>
        </w:trPr>
        <w:tc>
          <w:tcPr>
            <w:tcW w:w="2520" w:type="dxa"/>
            <w:vAlign w:val="bottom"/>
            <w:shd w:val="clear" w:color="auto" w:fill="CCEEFF"/>
          </w:tcPr>
          <w:p>
            <w:pPr>
              <w:spacing w:after="0"/>
              <w:rPr>
                <w:sz w:val="20"/>
                <w:szCs w:val="20"/>
                <w:color w:val="auto"/>
              </w:rPr>
            </w:pP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drive organic light-emitting diode (OLED) displays</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Mainstream (photomasks)</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 IC, photomasks that service IC nodes greater than 28nm; for FPD, G8 and smaller photomasks</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VIE</w:t>
            </w:r>
          </w:p>
        </w:tc>
        <w:tc>
          <w:tcPr>
            <w:tcW w:w="8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7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w:t>
            </w:r>
          </w:p>
        </w:tc>
      </w:tr>
      <w:tr>
        <w:trPr>
          <w:trHeight w:val="234"/>
        </w:trPr>
        <w:tc>
          <w:tcPr>
            <w:tcW w:w="2520" w:type="dxa"/>
            <w:vAlign w:val="bottom"/>
          </w:tcPr>
          <w:p>
            <w:pPr>
              <w:spacing w:after="0"/>
              <w:rPr>
                <w:sz w:val="20"/>
                <w:szCs w:val="20"/>
                <w:color w:val="auto"/>
              </w:rPr>
            </w:pPr>
          </w:p>
        </w:tc>
        <w:tc>
          <w:tcPr>
            <w:tcW w:w="8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serves as the substrate for microelectronic devices built in and upon the wafer</w:t>
            </w:r>
          </w:p>
        </w:tc>
      </w:tr>
      <w:tr>
        <w:trPr>
          <w:trHeight w:val="570"/>
        </w:trPr>
        <w:tc>
          <w:tcPr>
            <w:tcW w:w="2520" w:type="dxa"/>
            <w:vAlign w:val="bottom"/>
          </w:tcPr>
          <w:p>
            <w:pPr>
              <w:spacing w:after="0"/>
              <w:rPr>
                <w:sz w:val="24"/>
                <w:szCs w:val="24"/>
                <w:color w:val="auto"/>
              </w:rPr>
            </w:pPr>
          </w:p>
        </w:tc>
        <w:tc>
          <w:tcPr>
            <w:tcW w:w="8720" w:type="dxa"/>
            <w:vAlign w:val="bottom"/>
          </w:tcPr>
          <w:p>
            <w:pPr>
              <w:ind w:left="306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52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177"/>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right="60" w:firstLine="180"/>
        <w:spacing w:after="0" w:line="274" w:lineRule="auto"/>
        <w:rPr>
          <w:sz w:val="20"/>
          <w:szCs w:val="20"/>
          <w:color w:val="auto"/>
        </w:rPr>
      </w:pPr>
      <w:r>
        <w:rPr>
          <w:rFonts w:ascii="Times New Roman" w:cs="Times New Roman" w:eastAsia="Times New Roman" w:hAnsi="Times New Roman"/>
          <w:sz w:val="17"/>
          <w:szCs w:val="17"/>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contained in Form 10-K for the year ended October 31, 2024, filed with the SEC on December 19, 2024, as well as any additional risk factors we may provide in Part II, Item 1A in this Quarterly Report on Form 10-Q.</w:t>
      </w: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601"/>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598,485</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27,699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42,184</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$1,171 in 2025 and $1,126 in 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200,830</w:t>
            </w:r>
          </w:p>
        </w:tc>
      </w:tr>
      <w:tr>
        <w:trPr>
          <w:trHeight w:val="216"/>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40,221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33,036</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855,806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931,062</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745,257</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23,059</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12,681</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89,484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78,717</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77,288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87,122</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166,783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183,811</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39,461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47,464</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206,263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231,300</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58,711 shares issued and outstanding as of May 4,</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2025, and 61,949 shares issued and outstanding as of October 31, 2024</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514,757</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691,807</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(87,295)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1,100,920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1,120,864</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395,849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1,496,769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1,480,759</w:t>
            </w:r>
          </w:p>
        </w:tc>
      </w:tr>
      <w:tr>
        <w:trPr>
          <w:trHeight w:val="223"/>
        </w:trPr>
        <w:tc>
          <w:tcPr>
            <w:tcW w:w="86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1,703,032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1,712,059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500" w:type="dxa"/>
            <w:vAlign w:val="bottom"/>
            <w:gridSpan w:val="6"/>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433,334</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133,086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137,749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269,689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274,828</w:t>
            </w:r>
          </w:p>
        </w:tc>
      </w:tr>
      <w:tr>
        <w:trPr>
          <w:trHeight w:val="216"/>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77,906</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79,251</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158,506</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18,996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37,201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37,317</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8,346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7,736</w:t>
            </w:r>
          </w:p>
        </w:tc>
      </w:tr>
      <w:tr>
        <w:trPr>
          <w:trHeight w:val="27"/>
        </w:trPr>
        <w:tc>
          <w:tcPr>
            <w:tcW w:w="10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23,288</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45,547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45,053</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107,894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(31,111)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14,766</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5,858</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11,128</w:t>
            </w: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34,874</w:t>
            </w:r>
          </w:p>
        </w:tc>
      </w:tr>
      <w:tr>
        <w:trPr>
          <w:trHeight w:val="223"/>
        </w:trPr>
        <w:tc>
          <w:tcPr>
            <w:tcW w:w="1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95,454</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20,121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30,762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33,023</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1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62,431</w:t>
            </w:r>
          </w:p>
        </w:tc>
      </w:tr>
      <w:tr>
        <w:trPr>
          <w:trHeight w:val="209"/>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1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2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61,771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61,613</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62,409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62,346</w:t>
            </w:r>
          </w:p>
        </w:tc>
      </w:tr>
      <w:tr>
        <w:trPr>
          <w:trHeight w:val="27"/>
        </w:trPr>
        <w:tc>
          <w:tcPr>
            <w:tcW w:w="102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(39,198)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(7,650)</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86,690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87,804</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9,074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35,954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32,571</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55,233</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8"/>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740" w:type="dxa"/>
            <w:vAlign w:val="bottom"/>
            <w:gridSpan w:val="11"/>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31"/>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51"/>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May 4, 2025</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9"/>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6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February 2, 2025</w:t>
            </w:r>
          </w:p>
        </w:tc>
        <w:tc>
          <w:tcPr>
            <w:tcW w:w="46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62,303</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515,742</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731,709</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(120,325)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366,460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8,861</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15,356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24,217</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33,030</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14,033</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47,063</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198"/>
        </w:trPr>
        <w:tc>
          <w:tcPr>
            <w:tcW w:w="3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 common stock</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through repurchase program</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w:t>
            </w:r>
          </w:p>
        </w:tc>
        <w:tc>
          <w:tcPr>
            <w:tcW w:w="3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(72,110)</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4, 2025</w:t>
            </w: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489,205</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698,423</w:t>
            </w: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(87,295)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395,849</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April 28, 2024</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9"/>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0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12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6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19"/>
                <w:szCs w:val="19"/>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28, 2024</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61,746</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502,903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587,299</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(67,863)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324,098</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36,251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20,121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(28,069)</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(39,116)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April 28, 2024</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61,799</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506,621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623,550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(95,932)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333,172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29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 May 4, 2025</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9"/>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top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300" w:type="dxa"/>
            <w:vAlign w:val="bottom"/>
          </w:tcPr>
          <w:p>
            <w:pPr>
              <w:spacing w:after="0"/>
              <w:rPr>
                <w:sz w:val="19"/>
                <w:szCs w:val="19"/>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46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61,949</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514,757</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691,807</w:t>
            </w: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359,895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51,712</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30,762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82,474</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(976)</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5,192</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4,216</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198"/>
        </w:trPr>
        <w:tc>
          <w:tcPr>
            <w:tcW w:w="366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 common stock</w:t>
            </w: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through repurchase program</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(45,096)</w:t>
            </w:r>
          </w:p>
        </w:tc>
        <w:tc>
          <w:tcPr>
            <w:tcW w:w="30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(76,682)</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38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May 4, 2025</w:t>
            </w: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58,711</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489,205</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698,423</w:t>
            </w: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(87,295)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395,849</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Six Months Ended April 28, 2024</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9"/>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10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112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9"/>
                <w:szCs w:val="19"/>
                <w:color w:val="auto"/>
              </w:rPr>
            </w:pPr>
          </w:p>
        </w:tc>
        <w:tc>
          <w:tcPr>
            <w:tcW w:w="10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00" w:type="dxa"/>
            <w:vAlign w:val="bottom"/>
          </w:tcPr>
          <w:p>
            <w:pPr>
              <w:spacing w:after="0"/>
              <w:rPr>
                <w:sz w:val="19"/>
                <w:szCs w:val="19"/>
                <w:color w:val="auto"/>
              </w:rPr>
            </w:pPr>
          </w:p>
        </w:tc>
        <w:tc>
          <w:tcPr>
            <w:tcW w:w="11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6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2023</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502,010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561,119</w:t>
            </w: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(88,734)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300,601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62,431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33,023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(loss)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(7,198)</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198"/>
        </w:trPr>
        <w:tc>
          <w:tcPr>
            <w:tcW w:w="26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April 28, 2024</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61,799</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506,621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623,550</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(95,932)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333,172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0" w:type="dxa"/>
            <w:vAlign w:val="bottom"/>
            <w:gridSpan w:val="17"/>
          </w:tcPr>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291"/>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95,454</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40,386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41,487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6,499</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(2,415)</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(4,407)</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(4,340)</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(14,284)</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117,994</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(95,749)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(63,311)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(66,040)</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13,234</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1,419</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(80,847)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(114,704)</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(17,966)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(76,682)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(2,938)</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(95,072)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(4,727)</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(3,839)</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(67,697)</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601,243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501,867</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533,546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496,591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530,708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3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not yet paid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7,871</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The Company operates eleven manufacturing facilities, which are located in Taiwan (3), South Korea (1), China (2), the United States (3), and Europe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80" w:firstLine="297"/>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amounts reported in them. The Company’s estimates are based on historical experience and on various assumptions that the Company believes to be reasonable under the facts and circumstances at the time they are made. Actual results may differ from such estimates. The Company reviews these estimates periodically and reflects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reporting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the Company’s Form 10-K for the fiscal year ended October 31, 2024, which provides additional information about the Company’s accounting policies and the methods and assumptions used in the Company’s estimates.</w:t>
      </w:r>
    </w:p>
    <w:p>
      <w:pPr>
        <w:spacing w:after="0" w:line="192"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is typically impacted during the first quarter of the Company’s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November 2024, the Financial Accounting Standards Board (the “FASB”) issued Accounting Standards Update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Update will be effective for Photronics in its fiscal year 2028 Form 10-K, with early application of the amendments allowed. The Company is currently evaluating the impact the adoption of this ASU may have on the Company’s consolidated financial statements and related disclosures.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Update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Update will be effective for Photronics in its fiscal year 2026 Form 10-K, with early application of the amendments allowed. The Company is currently evaluating the effect of this ASU adoption on its disclosures.</w:t>
      </w:r>
    </w:p>
    <w:p>
      <w:pPr>
        <w:spacing w:after="0" w:line="18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Photronics in its fiscal year 2025 Form 10-K, with early adoption permitted. The Company is currently evaluating the effect the adoption of this ASU may have on the Company’s disclosures.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ACCOUNTS RECEIVABLE, NET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at the balance sheet dates are presented below.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29,215</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195,977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200,830</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invests excess cash in bank time deposits and various marketable securities. The Company’s classification of investments is as follows:</w:t>
      </w:r>
    </w:p>
    <w:p>
      <w:pPr>
        <w:spacing w:after="0" w:line="225" w:lineRule="exact"/>
        <w:rPr>
          <w:sz w:val="20"/>
          <w:szCs w:val="20"/>
          <w:color w:val="auto"/>
        </w:rPr>
      </w:pPr>
    </w:p>
    <w:p>
      <w:pPr>
        <w:ind w:left="260"/>
        <w:spacing w:after="0"/>
        <w:tabs>
          <w:tab w:leader="none" w:pos="560" w:val="left"/>
          <w:tab w:leader="none" w:pos="9320" w:val="left"/>
        </w:tabs>
        <w:rPr>
          <w:sz w:val="20"/>
          <w:szCs w:val="20"/>
          <w:color w:val="auto"/>
        </w:rPr>
      </w:pPr>
      <w:r>
        <w:rPr>
          <w:rFonts w:ascii="Times New Roman" w:cs="Times New Roman" w:eastAsia="Times New Roman" w:hAnsi="Times New Roman"/>
          <w:sz w:val="18"/>
          <w:szCs w:val="18"/>
          <w:color w:val="auto"/>
        </w:rPr>
        <w:t>-</w:t>
        <w:tab/>
        <w:t>Maturing within three months or less from the date of purchase</w:t>
      </w:r>
      <w:r>
        <w:rPr>
          <w:sz w:val="20"/>
          <w:szCs w:val="20"/>
          <w:color w:val="auto"/>
        </w:rPr>
        <w:tab/>
      </w: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580" w:hanging="31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Maturing, as of the date of purchase, more than three months, but with remaining maturities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of less than one year, from the balance sheet date</w:t>
            </w:r>
          </w:p>
        </w:tc>
        <w:tc>
          <w:tcPr>
            <w:tcW w:w="4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Short-term investments</w:t>
            </w:r>
          </w:p>
        </w:tc>
      </w:tr>
      <w:tr>
        <w:trPr>
          <w:trHeight w:val="216"/>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Maturing one year or more from the balance sheet date</w:t>
            </w:r>
          </w:p>
        </w:tc>
        <w:tc>
          <w:tcPr>
            <w:tcW w:w="4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Long-term marketable investments</w:t>
            </w: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4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These are investments where values are derived from techniques in which one or more significant inputs are unobservable.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618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w w:val="99"/>
              </w:rPr>
              <w:t>The following are cash, cash equivalents and investments measured at fair value:</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May 4, 2025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31, 2024</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3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80" w:type="dxa"/>
            <w:vAlign w:val="bottom"/>
          </w:tcPr>
          <w:p>
            <w:pPr>
              <w:spacing w:after="0"/>
              <w:rPr>
                <w:sz w:val="16"/>
                <w:szCs w:val="16"/>
                <w:color w:val="auto"/>
              </w:rPr>
            </w:pPr>
          </w:p>
        </w:tc>
        <w:tc>
          <w:tcPr>
            <w:tcW w:w="1160" w:type="dxa"/>
            <w:vAlign w:val="bottom"/>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80" w:type="dxa"/>
            <w:vAlign w:val="bottom"/>
          </w:tcPr>
          <w:p>
            <w:pPr>
              <w:spacing w:after="0"/>
              <w:rPr>
                <w:sz w:val="16"/>
                <w:szCs w:val="16"/>
                <w:color w:val="auto"/>
              </w:rPr>
            </w:pPr>
          </w:p>
        </w:tc>
        <w:tc>
          <w:tcPr>
            <w:tcW w:w="98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Fair</w:t>
            </w:r>
          </w:p>
        </w:tc>
        <w:tc>
          <w:tcPr>
            <w:tcW w:w="22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0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Total Fair</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8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0" w:type="dxa"/>
            <w:vAlign w:val="bottom"/>
          </w:tcPr>
          <w:p>
            <w:pPr>
              <w:spacing w:after="0"/>
              <w:rPr>
                <w:sz w:val="21"/>
                <w:szCs w:val="21"/>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188,730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414,074</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414,074</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U.S. Government Securities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28,855</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9,489</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38,344</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Money market funds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13,421</w:t>
            </w: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36,322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00"/>
              <w:spacing w:after="0"/>
              <w:rPr>
                <w:sz w:val="20"/>
                <w:szCs w:val="20"/>
                <w:color w:val="auto"/>
              </w:rPr>
            </w:pPr>
            <w:r>
              <w:rPr>
                <w:rFonts w:ascii="Times New Roman" w:cs="Times New Roman" w:eastAsia="Times New Roman" w:hAnsi="Times New Roman"/>
                <w:sz w:val="18"/>
                <w:szCs w:val="18"/>
                <w:i w:val="1"/>
                <w:iCs w:val="1"/>
                <w:color w:val="auto"/>
              </w:rPr>
              <w:t>Commercial paper</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56,287</w:t>
            </w:r>
          </w:p>
        </w:tc>
        <w:tc>
          <w:tcPr>
            <w:tcW w:w="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56,955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Time 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17,542</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260,957</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190,273</w:t>
            </w: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530,708</w:t>
            </w:r>
          </w:p>
        </w:tc>
        <w:tc>
          <w:tcPr>
            <w:tcW w:w="2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27,699</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558,407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42,184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640,669</w:t>
            </w: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2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Restricted Cash </w:t>
            </w:r>
            <w:r>
              <w:rPr>
                <w:rFonts w:ascii="Times New Roman" w:cs="Times New Roman" w:eastAsia="Times New Roman" w:hAnsi="Times New Roman"/>
                <w:sz w:val="28"/>
                <w:szCs w:val="28"/>
                <w:color w:val="auto"/>
                <w:vertAlign w:val="superscript"/>
              </w:rPr>
              <w:t>(1)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10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533,546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9" w:lineRule="exact"/>
        <w:rPr>
          <w:sz w:val="20"/>
          <w:szCs w:val="20"/>
          <w:color w:val="auto"/>
        </w:rPr>
      </w:pPr>
    </w:p>
    <w:p>
      <w:pPr>
        <w:ind w:left="560" w:hanging="228"/>
        <w:spacing w:after="0"/>
        <w:tabs>
          <w:tab w:leader="none" w:pos="5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Restricted cash is included in other assets and primarily relates to land lease agreements and customs requirements.</w:t>
      </w:r>
    </w:p>
    <w:p>
      <w:pPr>
        <w:spacing w:after="0" w:line="19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The Company’s U.S. Government Securities, Commercial paper and Money market funds are classified as available-for-sale. Available-for-sale investments are reported at fair value, with unrealized gains or losses (net of tax) reported in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xml:space="preserve">. In the event of a sale of these securities, the Company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net</w:t>
      </w:r>
      <w:r>
        <w:rPr>
          <w:rFonts w:ascii="Times New Roman" w:cs="Times New Roman" w:eastAsia="Times New Roman" w:hAnsi="Times New Roman"/>
          <w:sz w:val="18"/>
          <w:szCs w:val="18"/>
          <w:color w:val="auto"/>
        </w:rPr>
        <w:t>, where the Company also reports periodic interest earned and the amortization (accretion) of discounts (premiums) related to these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periods ended May 4, 2025 and October 31, 2024, the unrealized gains or losses related to short-term investments were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tcPr>
          <w:p>
            <w:pPr>
              <w:spacing w:after="0"/>
              <w:rPr>
                <w:sz w:val="18"/>
                <w:szCs w:val="18"/>
                <w:color w:val="auto"/>
              </w:rPr>
            </w:pPr>
          </w:p>
        </w:tc>
        <w:tc>
          <w:tcPr>
            <w:tcW w:w="55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56,527</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32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13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36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188,756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2,062,158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1,990,610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19,268</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18,091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91,213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2,424,346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2,319,357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(1,616,788)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(1,574,100)</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807,558</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Information on ROU assets resulting from finance leases, at the balance sheet dates, is presented below. During the first half of 2025, the Company exercised its early buy-out option for a high-end lithography tool and a high-end inspection tool. Please refer to Note 7 for further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8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86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860" w:type="dxa"/>
            <w:vAlign w:val="bottom"/>
          </w:tcPr>
          <w:p>
            <w:pPr>
              <w:spacing w:after="0"/>
              <w:rPr>
                <w:sz w:val="19"/>
                <w:szCs w:val="19"/>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(10,522)</w:t>
            </w:r>
          </w:p>
        </w:tc>
      </w:tr>
      <w:tr>
        <w:trPr>
          <w:trHeight w:val="257"/>
        </w:trPr>
        <w:tc>
          <w:tcPr>
            <w:tcW w:w="86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2018, Photronics, Inc., through its wholly 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Under the joint venture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the Company recorded from the operations of PDMCX during the reporting periods.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57"/>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“Consolidation”,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which could potentially be significant to PDMCX.</w:t>
      </w:r>
    </w:p>
    <w:p>
      <w:pPr>
        <w:spacing w:after="0" w:line="187"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the Company’s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May 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9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40" w:type="dxa"/>
            <w:vAlign w:val="bottom"/>
          </w:tcPr>
          <w:p>
            <w:pPr>
              <w:spacing w:after="0"/>
              <w:rPr>
                <w:sz w:val="16"/>
                <w:szCs w:val="16"/>
                <w:color w:val="auto"/>
              </w:rPr>
            </w:pPr>
          </w:p>
        </w:tc>
        <w:tc>
          <w:tcPr>
            <w:tcW w:w="98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171,717</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174,059</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87,047</w:t>
            </w: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83,610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151,039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75,535</w:t>
            </w: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338,904</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325,098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19,742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20,350</w:t>
            </w: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58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297,038</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148,549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281,087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140,572</w:t>
            </w:r>
          </w:p>
        </w:tc>
      </w:tr>
      <w:tr>
        <w:trPr>
          <w:trHeight w:val="564"/>
        </w:trPr>
        <w:tc>
          <w:tcPr>
            <w:tcW w:w="354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jc w:val="right"/>
              <w:ind w:right="199"/>
              <w:spacing w:after="0"/>
              <w:rPr>
                <w:sz w:val="20"/>
                <w:szCs w:val="20"/>
                <w:color w:val="auto"/>
              </w:rPr>
            </w:pPr>
            <w:r>
              <w:rPr>
                <w:rFonts w:ascii="Times New Roman" w:cs="Times New Roman" w:eastAsia="Times New Roman" w:hAnsi="Times New Roman"/>
                <w:sz w:val="14"/>
                <w:szCs w:val="14"/>
                <w:color w:val="auto"/>
              </w:rPr>
              <w:t>15</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of long-term debt and its current portion is comprised of the following finance leases as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8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1"/>
                <w:szCs w:val="2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5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r>
      <w:tr>
        <w:trPr>
          <w:trHeight w:val="311"/>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9"/>
        </w:trPr>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1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8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right="280"/>
              <w:spacing w:after="0" w:line="198" w:lineRule="exact"/>
              <w:rPr>
                <w:sz w:val="20"/>
                <w:szCs w:val="20"/>
                <w:color w:val="auto"/>
              </w:rPr>
            </w:pPr>
            <w:r>
              <w:rPr>
                <w:rFonts w:ascii="Times New Roman" w:cs="Times New Roman" w:eastAsia="Times New Roman" w:hAnsi="Times New Roman"/>
                <w:sz w:val="18"/>
                <w:szCs w:val="18"/>
                <w:color w:val="auto"/>
                <w:w w:val="99"/>
              </w:rPr>
              <w:t>Varies as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6"/>
              </w:rPr>
              <w:t>Varies as</w:t>
            </w:r>
          </w:p>
        </w:tc>
      </w:tr>
      <w:tr>
        <w:trPr>
          <w:trHeight w:val="216"/>
        </w:trPr>
        <w:tc>
          <w:tcPr>
            <w:tcW w:w="8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9"/>
              </w:rPr>
              <w:t>Lease</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Lease</w:t>
            </w:r>
          </w:p>
        </w:tc>
      </w:tr>
      <w:tr>
        <w:trPr>
          <w:trHeight w:val="234"/>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matures</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matures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Monthly</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63"/>
        </w:trPr>
        <w:tc>
          <w:tcPr>
            <w:tcW w:w="8600" w:type="dxa"/>
            <w:vAlign w:val="bottom"/>
            <w:tcBorders>
              <w:bottom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Loan collateral (carrying amount) </w:t>
            </w:r>
            <w:r>
              <w:rPr>
                <w:rFonts w:ascii="Times New Roman" w:cs="Times New Roman" w:eastAsia="Times New Roman" w:hAnsi="Times New Roman"/>
                <w:sz w:val="29"/>
                <w:szCs w:val="29"/>
                <w:color w:val="auto"/>
                <w:vertAlign w:val="superscript"/>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February 2021, the Company entered into a five-year $7.2 million finance lease for a high-end inspection tool. Monthly payments on the lease, which commenced in February 2021, were $0.1 million per month. Upon the fiftieth monthly payment and prior to payment of the fifty-first monthly payment, the Company could exercise an early buyout option to purchase the tool for $2.4 million. After the original term or any renewal periods, the Company could return the tool, elect to extend the lease, or purchase the tool at its fair market value. The Company exercised the early buyout option to purchase the tool for $2.4 million during the second quarter of fiscal year 2025.</w:t>
      </w:r>
    </w:p>
    <w:p>
      <w:pPr>
        <w:spacing w:after="0" w:line="183"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The lease agreement provided an early buyout option to purchase the tool for $14.1 million, which the Company exercised during the first quarter of fiscal year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CNY 200 million ($25 million), pursuant to which PDMCX may enter into separate loan agreements with varying terms to maturity. In December 2022, the Company repaid the Company’s entire outstanding balance of CNY 25.6 million ($3.6 million). The interest rates are variable, based on the CNY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 This facility is subject to annual reviews and extensions. In August 2024, the Company was issued an extension to the revolving, unsecured credit agreement for CNY 200 million (approximately $27.5 million) with an expiration date of July 31, 2025. As of May 4, 2025, PDMCX had no outstanding borrowings against the approval.</w:t>
      </w:r>
    </w:p>
    <w:p>
      <w:pPr>
        <w:spacing w:after="0" w:line="3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jc w:val="center"/>
        <w:ind w:right="956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the Company’s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the Company with the right to payment for work completed to date, the Company recognizes revenue as the Company performs, or “over time,” on most of the Company’s contracts. The Company measures the Company’s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the Company’s costs incurred plus a reasonable profit, the Company recognizes revenue and a corresponding contract asset for such performance. The Company accounts for shipping and handling activities that the Company performs after a customer obtains control of a good as being activities to fulfill the Company’s promise to transfer the good to the customer, rather than as promised services, or performance obligations, under the contract. The Company reports the Company’s revenue net of any sales or similar taxes the Company collects on behalf of governmental entities.</w:t>
      </w:r>
    </w:p>
    <w:p>
      <w:pPr>
        <w:spacing w:after="0" w:line="19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its performance under a contract precedes the Company’s receipt of consideration from a customer, or before payment is due, and the right to receive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which generally occurs upon the shipment of the photomasks. The Company’s contract assets primarily consist of in-process production orders and fully manufactured photomasks which have not yet shipped, for which the Company has an enforceable right to consideration (including a reasonable profit) in the event the in-process orders are cancelled by customers. On an individual contract basis, the Company nets contract assets with contract liabilities (deferred revenue) for financial reporting purposes. The Company did not identify impairment indicators for any outstanding contract assets during the three-month or six-month periods ended May 4, 2025, or April 28, 2024.</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contract balances at the balance sheet dates.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11,532</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12,375</w:t>
            </w:r>
          </w:p>
        </w:tc>
      </w:tr>
      <w:tr>
        <w:trPr>
          <w:trHeight w:val="223"/>
        </w:trPr>
        <w:tc>
          <w:tcPr>
            <w:tcW w:w="8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21,285</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from performance obligations satisfied in the previous periods. The following table presents revenue recognized from contract liabilities that existed at the beginning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generally records accounts receivable at their billed amounts. All outstanding past due customer invoices are reviewed for collectability during, and at the end of, every reporting period. To the extent the Company believes a loss on the collection of a customer invoice is probable, the Company would record the loss and credit an allowance for credit losses. In the event that an amount is determined to be uncollectible, the Company charges the allowance for credit losses and derecognizes the related receivable. The Company did not incur any credit losses on the Company’s accounts receivable during the three-month or six-month periods ended May 4, 2025, or April 28, 2024.</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the Company is paid in advance of the Company’s performance, the Company records a contract liability and, as allowed under the practical expedient in Topic 606, recognizes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three-month and six-month periods ended May 4, 2025, and April 28, 2024,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200" w:type="dxa"/>
            <w:vAlign w:val="bottom"/>
          </w:tcPr>
          <w:p>
            <w:pPr>
              <w:spacing w:after="0"/>
              <w:rPr>
                <w:sz w:val="17"/>
                <w:szCs w:val="17"/>
                <w:color w:val="auto"/>
              </w:rPr>
            </w:pPr>
          </w:p>
        </w:tc>
        <w:tc>
          <w:tcPr>
            <w:tcW w:w="92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980" w:type="dxa"/>
            <w:vAlign w:val="bottom"/>
            <w:tcBorders>
              <w:top w:val="single" w:sz="8" w:color="auto"/>
              <w:bottom w:val="single" w:sz="8" w:color="auto"/>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IC</w:t>
            </w:r>
          </w:p>
        </w:tc>
        <w:tc>
          <w:tcPr>
            <w:tcW w:w="4000" w:type="dxa"/>
            <w:vAlign w:val="bottom"/>
            <w:gridSpan w:val="3"/>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980" w:type="dxa"/>
            <w:vAlign w:val="bottom"/>
            <w:gridSpan w:val="3"/>
            <w:vMerge w:val="continue"/>
          </w:tcPr>
          <w:p>
            <w:pPr>
              <w:spacing w:after="0"/>
              <w:rPr>
                <w:sz w:val="15"/>
                <w:szCs w:val="15"/>
                <w:color w:val="auto"/>
              </w:rPr>
            </w:pPr>
          </w:p>
        </w:tc>
        <w:tc>
          <w:tcPr>
            <w:tcW w:w="40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59,299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118,918</w:t>
            </w:r>
          </w:p>
        </w:tc>
        <w:tc>
          <w:tcPr>
            <w:tcW w:w="0" w:type="dxa"/>
            <w:vAlign w:val="bottom"/>
          </w:tcPr>
          <w:p>
            <w:pPr>
              <w:spacing w:after="0"/>
              <w:rPr>
                <w:sz w:val="1"/>
                <w:szCs w:val="1"/>
                <w:color w:val="auto"/>
              </w:rPr>
            </w:pPr>
          </w:p>
        </w:tc>
      </w:tr>
      <w:tr>
        <w:trPr>
          <w:trHeight w:val="223"/>
        </w:trPr>
        <w:tc>
          <w:tcPr>
            <w:tcW w:w="598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200" w:type="dxa"/>
            <w:vAlign w:val="bottom"/>
          </w:tcPr>
          <w:p>
            <w:pPr>
              <w:spacing w:after="0"/>
              <w:rPr>
                <w:sz w:val="19"/>
                <w:szCs w:val="19"/>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96,578</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102,886</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190,429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199,599</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155,877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309,834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High-end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43,613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47,977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98,593</w:t>
            </w:r>
          </w:p>
        </w:tc>
        <w:tc>
          <w:tcPr>
            <w:tcW w:w="0" w:type="dxa"/>
            <w:vAlign w:val="bottom"/>
          </w:tcPr>
          <w:p>
            <w:pPr>
              <w:spacing w:after="0"/>
              <w:rPr>
                <w:sz w:val="1"/>
                <w:szCs w:val="1"/>
                <w:color w:val="auto"/>
              </w:rPr>
            </w:pPr>
          </w:p>
        </w:tc>
      </w:tr>
      <w:tr>
        <w:trPr>
          <w:trHeight w:val="223"/>
        </w:trPr>
        <w:tc>
          <w:tcPr>
            <w:tcW w:w="598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Mainstream</w:t>
            </w:r>
          </w:p>
        </w:tc>
        <w:tc>
          <w:tcPr>
            <w:tcW w:w="200" w:type="dxa"/>
            <w:vAlign w:val="bottom"/>
          </w:tcPr>
          <w:p>
            <w:pPr>
              <w:spacing w:after="0"/>
              <w:rPr>
                <w:sz w:val="19"/>
                <w:szCs w:val="19"/>
                <w:color w:val="auto"/>
              </w:rPr>
            </w:pPr>
          </w:p>
        </w:tc>
        <w:tc>
          <w:tcPr>
            <w:tcW w:w="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6"/>
              </w:rPr>
              <w:t>11,502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8,095</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16,224</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58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55,115</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2"/>
              </w:rPr>
              <w:t>113,296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423,130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980" w:type="dxa"/>
            <w:vAlign w:val="bottom"/>
            <w:gridSpan w:val="6"/>
          </w:tcPr>
          <w:p>
            <w:pPr>
              <w:spacing w:after="0" w:line="265" w:lineRule="exact"/>
              <w:rPr>
                <w:sz w:val="20"/>
                <w:szCs w:val="20"/>
                <w:color w:val="auto"/>
              </w:rPr>
            </w:pPr>
            <w:r>
              <w:rPr>
                <w:rFonts w:ascii="Times New Roman" w:cs="Times New Roman" w:eastAsia="Times New Roman" w:hAnsi="Times New Roman"/>
                <w:sz w:val="16"/>
                <w:szCs w:val="16"/>
                <w:b w:val="1"/>
                <w:bCs w:val="1"/>
                <w:color w:val="auto"/>
              </w:rPr>
              <w:t>Revenue by Geographic Origin</w:t>
            </w:r>
            <w:r>
              <w:rPr>
                <w:rFonts w:ascii="Times New Roman" w:cs="Times New Roman" w:eastAsia="Times New Roman" w:hAnsi="Times New Roman"/>
                <w:sz w:val="30"/>
                <w:szCs w:val="30"/>
                <w:color w:val="auto"/>
                <w:vertAlign w:val="superscript"/>
              </w:rPr>
              <w:t>*</w:t>
            </w:r>
          </w:p>
        </w:tc>
        <w:tc>
          <w:tcPr>
            <w:tcW w:w="200" w:type="dxa"/>
            <w:vAlign w:val="bottom"/>
          </w:tcPr>
          <w:p>
            <w:pPr>
              <w:spacing w:after="0"/>
              <w:rPr>
                <w:sz w:val="23"/>
                <w:szCs w:val="23"/>
                <w:color w:val="auto"/>
              </w:rPr>
            </w:pP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2"/>
              </w:rPr>
              <w:t>75,060</w:t>
            </w:r>
          </w:p>
        </w:tc>
        <w:tc>
          <w:tcPr>
            <w:tcW w:w="2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148,094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tcPr>
          <w:p>
            <w:pPr>
              <w:spacing w:after="0"/>
              <w:rPr>
                <w:sz w:val="18"/>
                <w:szCs w:val="18"/>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58,742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58,693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116,829</w:t>
            </w:r>
          </w:p>
        </w:tc>
        <w:tc>
          <w:tcPr>
            <w:tcW w:w="0" w:type="dxa"/>
            <w:vAlign w:val="bottom"/>
          </w:tcPr>
          <w:p>
            <w:pPr>
              <w:spacing w:after="0"/>
              <w:rPr>
                <w:sz w:val="1"/>
                <w:szCs w:val="1"/>
                <w:color w:val="auto"/>
              </w:rPr>
            </w:pPr>
          </w:p>
        </w:tc>
      </w:tr>
      <w:tr>
        <w:trPr>
          <w:trHeight w:val="216"/>
        </w:trPr>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37,594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79,621</w:t>
            </w:r>
          </w:p>
        </w:tc>
        <w:tc>
          <w:tcPr>
            <w:tcW w:w="0" w:type="dxa"/>
            <w:vAlign w:val="bottom"/>
          </w:tcPr>
          <w:p>
            <w:pPr>
              <w:spacing w:after="0"/>
              <w:rPr>
                <w:sz w:val="1"/>
                <w:szCs w:val="1"/>
                <w:color w:val="auto"/>
              </w:rPr>
            </w:pPr>
          </w:p>
        </w:tc>
      </w:tr>
      <w:tr>
        <w:trPr>
          <w:trHeight w:val="216"/>
        </w:trPr>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Pr>
          <w:p>
            <w:pPr>
              <w:spacing w:after="0"/>
              <w:rPr>
                <w:sz w:val="18"/>
                <w:szCs w:val="18"/>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30,727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67,626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66,047</w:t>
            </w:r>
          </w:p>
        </w:tc>
        <w:tc>
          <w:tcPr>
            <w:tcW w:w="0" w:type="dxa"/>
            <w:vAlign w:val="bottom"/>
          </w:tcPr>
          <w:p>
            <w:pPr>
              <w:spacing w:after="0"/>
              <w:rPr>
                <w:sz w:val="1"/>
                <w:szCs w:val="1"/>
                <w:color w:val="auto"/>
              </w:rPr>
            </w:pPr>
          </w:p>
        </w:tc>
      </w:tr>
      <w:tr>
        <w:trPr>
          <w:trHeight w:val="216"/>
        </w:trPr>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19,631</w:t>
            </w:r>
          </w:p>
        </w:tc>
        <w:tc>
          <w:tcPr>
            <w:tcW w:w="0" w:type="dxa"/>
            <w:vAlign w:val="bottom"/>
          </w:tcPr>
          <w:p>
            <w:pPr>
              <w:spacing w:after="0"/>
              <w:rPr>
                <w:sz w:val="1"/>
                <w:szCs w:val="1"/>
                <w:color w:val="auto"/>
              </w:rPr>
            </w:pPr>
          </w:p>
        </w:tc>
      </w:tr>
      <w:tr>
        <w:trPr>
          <w:trHeight w:val="223"/>
        </w:trPr>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1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56"/>
        </w:trPr>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210,992</w:t>
            </w:r>
          </w:p>
        </w:tc>
        <w:tc>
          <w:tcPr>
            <w:tcW w:w="2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423,130</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598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center"/>
              <w:ind w:right="4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98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200" w:type="dxa"/>
            <w:vAlign w:val="bottom"/>
          </w:tcPr>
          <w:p>
            <w:pPr>
              <w:spacing w:after="0"/>
              <w:rPr>
                <w:sz w:val="17"/>
                <w:szCs w:val="17"/>
                <w:color w:val="auto"/>
              </w:rPr>
            </w:pPr>
          </w:p>
        </w:tc>
        <w:tc>
          <w:tcPr>
            <w:tcW w:w="920" w:type="dxa"/>
            <w:vAlign w:val="bottom"/>
          </w:tcPr>
          <w:p>
            <w:pPr>
              <w:jc w:val="center"/>
              <w:ind w:right="11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405,264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200" w:type="dxa"/>
            <w:vAlign w:val="bottom"/>
          </w:tcPr>
          <w:p>
            <w:pPr>
              <w:spacing w:after="0"/>
              <w:rPr>
                <w:sz w:val="19"/>
                <w:szCs w:val="19"/>
                <w:color w:val="auto"/>
              </w:rPr>
            </w:pPr>
          </w:p>
        </w:tc>
        <w:tc>
          <w:tcPr>
            <w:tcW w:w="11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10,804</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5,811</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17,866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18,618</w:t>
            </w: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210,992</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423,130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pays commissions to third-party sales agents for certain sales they procure on the Company’s behalf. However, the basis of the commissions is the transaction prices of the sales, which are completed in less than one year; thus, no relationship is established with a customer that will result in future business. Therefore, the Company does not recognize any portion of these sales commissions as costs of obtaining a contract, nor does the Company currently foresee other circumstances under which the Company would recognize contract obtainment costs as assets.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the Company is typically required to fulfill customer orders within a short time period, the Company’s backlog of orders is generally not in excess of one to two weeks for IC photomasks and two to three weeks for FPD photomasks. However, the demand for some IC photomasks can extend beyond the traditional time period; thus, the backlog, in some individual cases, can extend to as long as two to three months. More recently however, backlogs for most high demand products have returned to historical levels of less than a month. As allowed under ASC 606 – </w:t>
      </w:r>
      <w:r>
        <w:rPr>
          <w:rFonts w:ascii="Times New Roman" w:cs="Times New Roman" w:eastAsia="Times New Roman" w:hAnsi="Times New Roman"/>
          <w:sz w:val="18"/>
          <w:szCs w:val="18"/>
          <w:i w:val="1"/>
          <w:iCs w:val="1"/>
          <w:color w:val="auto"/>
        </w:rPr>
        <w:t>Revenue Contracts with Customers</w:t>
      </w:r>
      <w:r>
        <w:rPr>
          <w:rFonts w:ascii="Times New Roman" w:cs="Times New Roman" w:eastAsia="Times New Roman" w:hAnsi="Times New Roman"/>
          <w:sz w:val="18"/>
          <w:szCs w:val="18"/>
          <w:color w:val="auto"/>
        </w:rPr>
        <w:t>,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April 2, 2025, at its annual meeting of shareholders, the shareholders of Photronics, Inc., approved the Company’s 2025 Equity Incentive Compensation Plan (the “2025 Plan”) under which incentive stock options, non-qualified stock options, stock grants, stock-based awards, restricted stock, restricted stock units, stock appreciation rights, performance units, performance stock, and other stock or cash awards may be granted. Shares to be issued under the 2025 Plan may be authorized and unissued shares, issued shares that have been re-acquired by the Company (in the open market or in private transactions), or a combination thereof. The maximum number of shares of common stock that may be issued under the 2025 Plan is five million shares. At the time of approval of the 2025 Plan, the Company’s 2016 Equity Incentive Compensation Plan (which was largely replicated by the 2025 Plan) was due to expire in early 2026, and had a limited quantity of shares remaining available for issuance. Awards may be granted to officers, employees, directors, consultants, advisors, and independent contractors of Photronics or its subsidiaries. In the event of a change in control (as defined in the Plan), the vesting of awards may be accelerated. The Plan prohibits further awards from being issued under prior plans. The table below presents information on the Company’s share-based compensation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r>
      <w:tr>
        <w:trPr>
          <w:trHeight w:val="245"/>
        </w:trPr>
        <w:tc>
          <w:tcPr>
            <w:tcW w:w="45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w:t>
            </w:r>
          </w:p>
        </w:tc>
      </w:tr>
      <w:tr>
        <w:trPr>
          <w:trHeight w:val="216"/>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4,737</w:t>
            </w:r>
          </w:p>
        </w:tc>
      </w:tr>
      <w:tr>
        <w:trPr>
          <w:trHeight w:val="216"/>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4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6,499</w:t>
            </w:r>
          </w:p>
        </w:tc>
      </w:tr>
      <w:tr>
        <w:trPr>
          <w:trHeight w:val="20"/>
        </w:trPr>
        <w:tc>
          <w:tcPr>
            <w:tcW w:w="4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6,499</w:t>
            </w: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6,499</w:t>
            </w:r>
          </w:p>
        </w:tc>
      </w:tr>
      <w:tr>
        <w:trPr>
          <w:trHeight w:val="20"/>
        </w:trPr>
        <w:tc>
          <w:tcPr>
            <w:tcW w:w="4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benefits on share-based compensation</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r>
      <w:tr>
        <w:trPr>
          <w:trHeight w:val="552"/>
        </w:trPr>
        <w:tc>
          <w:tcPr>
            <w:tcW w:w="4580" w:type="dxa"/>
            <w:vAlign w:val="bottom"/>
          </w:tcPr>
          <w:p>
            <w:pPr>
              <w:spacing w:after="0"/>
              <w:rPr>
                <w:sz w:val="24"/>
                <w:szCs w:val="24"/>
                <w:color w:val="auto"/>
              </w:rPr>
            </w:pPr>
          </w:p>
        </w:tc>
        <w:tc>
          <w:tcPr>
            <w:tcW w:w="1400" w:type="dxa"/>
            <w:vAlign w:val="bottom"/>
          </w:tcPr>
          <w:p>
            <w:pPr>
              <w:jc w:val="right"/>
              <w:ind w:right="193"/>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5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Company has historically granted restricted stock awards on a periodic basis, the restrictions on which typically lapse over a service period of one to four years. The fair value of the awards is determined on the date of grant, based on the closing price of the Company’s common stock. The table below presents information on the Company’s restricted stock awards.</w:t>
      </w:r>
    </w:p>
    <w:p>
      <w:pPr>
        <w:sectPr>
          <w:pgSz w:w="11900" w:h="16838" w:orient="portrait"/>
          <w:cols w:equalWidth="0" w:num="1">
            <w:col w:w="11240"/>
          </w:cols>
          <w:pgMar w:left="320" w:top="115" w:right="339" w:bottom="1440" w:gutter="0" w:footer="0" w:header="0"/>
        </w:sectPr>
      </w:pPr>
    </w:p>
    <w:p>
      <w:pPr>
        <w:spacing w:after="0" w:line="172"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80" w:type="dxa"/>
            <w:vAlign w:val="bottom"/>
            <w:tcBorders>
              <w:top w:val="single" w:sz="8" w:color="auto"/>
            </w:tcBorders>
          </w:tcPr>
          <w:p>
            <w:pPr>
              <w:jc w:val="center"/>
              <w:ind w:lef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60" w:type="dxa"/>
            <w:vAlign w:val="bottom"/>
            <w:tcBorders>
              <w:top w:val="single" w:sz="8" w:color="auto"/>
            </w:tcBorders>
          </w:tcPr>
          <w:p>
            <w:pPr>
              <w:jc w:val="center"/>
              <w:ind w:lef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237,738</w:t>
            </w: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583,238</w:t>
            </w:r>
          </w:p>
        </w:tc>
        <w:tc>
          <w:tcPr>
            <w:tcW w:w="3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825,050</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21.28</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23.42</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27,028</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27,028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1,439,672</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1,560,540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1,439,672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1,560,540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right="300" w:firstLine="369"/>
        <w:spacing w:after="0" w:line="266" w:lineRule="auto"/>
        <w:rPr>
          <w:sz w:val="20"/>
          <w:szCs w:val="20"/>
          <w:color w:val="auto"/>
        </w:rPr>
      </w:pPr>
      <w:r>
        <w:rPr>
          <w:rFonts w:ascii="Times New Roman" w:cs="Times New Roman" w:eastAsia="Times New Roman" w:hAnsi="Times New Roman"/>
          <w:sz w:val="18"/>
          <w:szCs w:val="18"/>
          <w:color w:val="auto"/>
        </w:rPr>
        <w:t>Commencing Q2 FY25, the company began granting restricted stock units, the restrictions on which typically lapse over a service period of one to four years. The fair value of the awards is determined on the date of grant, based on the closing price of the Company’s common stock. The table below presents information on the Company’s restricted stock awards.</w:t>
      </w:r>
    </w:p>
    <w:p>
      <w:pPr>
        <w:sectPr>
          <w:pgSz w:w="11900" w:h="16838" w:orient="portrait"/>
          <w:cols w:equalWidth="0" w:num="1">
            <w:col w:w="11240"/>
          </w:cols>
          <w:pgMar w:left="320" w:top="115" w:right="339" w:bottom="1440" w:gutter="0" w:footer="0" w:header="0"/>
          <w:type w:val="continuous"/>
        </w:sectPr>
      </w:pPr>
    </w:p>
    <w:p>
      <w:pPr>
        <w:spacing w:after="0" w:line="17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6040" w:type="dxa"/>
        <w:tblCellMar>
          <w:top w:w="0" w:type="dxa"/>
          <w:left w:w="0" w:type="dxa"/>
          <w:bottom w:w="0" w:type="dxa"/>
          <w:right w:w="0" w:type="dxa"/>
        </w:tblCellMar>
      </w:tblPr>
      <w:tr>
        <w:trPr>
          <w:trHeight w:val="201"/>
        </w:trPr>
        <w:tc>
          <w:tcPr>
            <w:tcW w:w="12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80" w:type="dxa"/>
            <w:vAlign w:val="bottom"/>
            <w:tcBorders>
              <w:top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20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60" w:type="dxa"/>
            <w:vAlign w:val="bottom"/>
            <w:tcBorders>
              <w:top w:val="single" w:sz="8" w:color="auto"/>
            </w:tcBorders>
          </w:tcPr>
          <w:p>
            <w:pPr>
              <w:jc w:val="center"/>
              <w:ind w:lef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2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 w:lineRule="exact"/>
        <w:rPr>
          <w:sz w:val="20"/>
          <w:szCs w:val="20"/>
          <w:color w:val="auto"/>
        </w:rPr>
      </w:pPr>
    </w:p>
    <w:p>
      <w:pPr>
        <w:sectPr>
          <w:pgSz w:w="11900" w:h="16838" w:orient="portrait"/>
          <w:cols w:equalWidth="0" w:num="2">
            <w:col w:w="8520" w:space="200"/>
            <w:col w:w="252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units granted in period</w:t>
            </w:r>
          </w:p>
        </w:tc>
        <w:tc>
          <w:tcPr>
            <w:tcW w:w="28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52,836</w:t>
            </w:r>
          </w:p>
        </w:tc>
        <w:tc>
          <w:tcPr>
            <w:tcW w:w="6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52,836</w:t>
            </w:r>
          </w:p>
        </w:tc>
        <w:tc>
          <w:tcPr>
            <w:tcW w:w="6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6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22.52</w:t>
            </w:r>
          </w:p>
        </w:tc>
        <w:tc>
          <w:tcPr>
            <w:tcW w:w="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6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681</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6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outstanding at balance sheet date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33,966</w:t>
            </w: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33,966</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the Company’s stock options.</w:t>
      </w:r>
    </w:p>
    <w:p>
      <w:pPr>
        <w:sectPr>
          <w:pgSz w:w="11900" w:h="16838" w:orient="portrait"/>
          <w:cols w:equalWidth="0" w:num="1">
            <w:col w:w="11240"/>
          </w:cols>
          <w:pgMar w:left="320" w:top="115" w:right="339" w:bottom="1440" w:gutter="0" w:footer="0" w:header="0"/>
          <w:type w:val="continuous"/>
        </w:sectPr>
      </w:pPr>
    </w:p>
    <w:p>
      <w:pPr>
        <w:spacing w:after="0" w:line="185"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80" w:type="dxa"/>
            <w:vAlign w:val="bottom"/>
            <w:tcBorders>
              <w:top w:val="single" w:sz="8" w:color="auto"/>
            </w:tcBorders>
          </w:tcPr>
          <w:p>
            <w:pPr>
              <w:jc w:val="center"/>
              <w:ind w:lef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60" w:type="dxa"/>
            <w:vAlign w:val="bottom"/>
            <w:tcBorders>
              <w:top w:val="single" w:sz="8" w:color="auto"/>
            </w:tcBorders>
          </w:tcPr>
          <w:p>
            <w:pPr>
              <w:jc w:val="center"/>
              <w:ind w:lef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480" w:type="dxa"/>
            <w:vAlign w:val="bottom"/>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options exercised</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1,055</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52"/>
        </w:trPr>
        <w:tc>
          <w:tcPr>
            <w:tcW w:w="5500" w:type="dxa"/>
            <w:vAlign w:val="bottom"/>
          </w:tcPr>
          <w:p>
            <w:pPr>
              <w:spacing w:after="0"/>
              <w:rPr>
                <w:sz w:val="24"/>
                <w:szCs w:val="24"/>
                <w:color w:val="auto"/>
              </w:rPr>
            </w:pPr>
          </w:p>
        </w:tc>
        <w:tc>
          <w:tcPr>
            <w:tcW w:w="48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21</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5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type w:val="continuous"/>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7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85"/>
        </w:trPr>
        <w:tc>
          <w:tcPr>
            <w:tcW w:w="8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Information regarding outstanding and exercisable option awards as of May 4, 2025, is presented below.</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10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020" w:type="dxa"/>
            <w:vAlign w:val="bottom"/>
            <w:tcBorders>
              <w:bottom w:val="single" w:sz="8" w:color="auto"/>
            </w:tcBorders>
          </w:tcPr>
          <w:p>
            <w:pPr>
              <w:spacing w:after="0"/>
              <w:rPr>
                <w:sz w:val="21"/>
                <w:szCs w:val="21"/>
                <w:color w:val="auto"/>
              </w:rPr>
            </w:pPr>
          </w:p>
        </w:tc>
        <w:tc>
          <w:tcPr>
            <w:tcW w:w="37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May 4, 2025</w:t>
            </w:r>
          </w:p>
        </w:tc>
        <w:tc>
          <w:tcPr>
            <w:tcW w:w="2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148,075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10.72</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calculates its provision for income taxes at the end of each interim reporting period on the basis of an estimated annual effective tax rate adjusted for tax items that are discrete to each period. The table below sets forth the primary reasons that the Company’s effective income tax rates differed from the U.S. statutory tax rates in effect during the periods ended May 4, 2025 and April 28,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w:t>
            </w: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20" w:type="dxa"/>
            <w:vAlign w:val="bottom"/>
          </w:tcPr>
          <w:p>
            <w:pPr>
              <w:spacing w:after="0"/>
              <w:rPr>
                <w:sz w:val="21"/>
                <w:szCs w:val="21"/>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Tax Rates</w:t>
            </w:r>
          </w:p>
        </w:tc>
        <w:tc>
          <w:tcPr>
            <w:tcW w:w="100" w:type="dxa"/>
            <w:vAlign w:val="bottom"/>
          </w:tcPr>
          <w:p>
            <w:pPr>
              <w:spacing w:after="0"/>
              <w:rPr>
                <w:sz w:val="21"/>
                <w:szCs w:val="21"/>
                <w:color w:val="auto"/>
              </w:rPr>
            </w:pPr>
          </w:p>
        </w:tc>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Pr>
          <w:p>
            <w:pPr>
              <w:spacing w:after="0"/>
              <w:rPr>
                <w:sz w:val="21"/>
                <w:szCs w:val="21"/>
                <w:color w:val="auto"/>
              </w:rPr>
            </w:pP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4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May 4, 2025</w:t>
            </w:r>
          </w:p>
        </w:tc>
        <w:tc>
          <w:tcPr>
            <w:tcW w:w="1380" w:type="dxa"/>
            <w:vAlign w:val="bottom"/>
            <w:gridSpan w:val="2"/>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 in the non-U.S. jurisdictions, and changes in</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April 28, 2024</w:t>
            </w:r>
          </w:p>
        </w:tc>
        <w:tc>
          <w:tcPr>
            <w:tcW w:w="1380" w:type="dxa"/>
            <w:vAlign w:val="bottom"/>
            <w:gridSpan w:val="2"/>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Six months ended May 4, 2025</w:t>
            </w:r>
          </w:p>
        </w:tc>
        <w:tc>
          <w:tcPr>
            <w:tcW w:w="1380" w:type="dxa"/>
            <w:vAlign w:val="bottom"/>
            <w:gridSpan w:val="2"/>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 in the non-U.S. jurisdictions, and changes in</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41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April 28, 2024</w:t>
            </w:r>
          </w:p>
        </w:tc>
        <w:tc>
          <w:tcPr>
            <w:tcW w:w="13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21.0%</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7000"/>
        <w:spacing w:after="0"/>
        <w:rPr>
          <w:sz w:val="20"/>
          <w:szCs w:val="20"/>
          <w:color w:val="auto"/>
        </w:rPr>
      </w:pPr>
      <w:r>
        <w:rPr>
          <w:rFonts w:ascii="Times New Roman" w:cs="Times New Roman" w:eastAsia="Times New Roman" w:hAnsi="Times New Roman"/>
          <w:sz w:val="18"/>
          <w:szCs w:val="18"/>
          <w:color w:val="auto"/>
        </w:rPr>
        <w:t>rates in the non-U.S. jurisdictions, and the establishment</w:t>
      </w:r>
    </w:p>
    <w:p>
      <w:pPr>
        <w:spacing w:after="0" w:line="9"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of uncertain tax positions in non-U.S. jurisdictions.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uncertain, as they can be dependent upon the settlement of tax audits, the Company believes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 The table below presents information on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May 4,</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the computation of basic and diluted earnings per share:</w:t>
      </w:r>
    </w:p>
    <w:p>
      <w:pPr>
        <w:sectPr>
          <w:pgSz w:w="11900" w:h="16838" w:orient="portrait"/>
          <w:cols w:equalWidth="0" w:num="1">
            <w:col w:w="11240"/>
          </w:cols>
          <w:pgMar w:left="320" w:top="115" w:right="339" w:bottom="1440" w:gutter="0" w:footer="0" w:header="0"/>
        </w:sectPr>
      </w:pPr>
    </w:p>
    <w:p>
      <w:pPr>
        <w:spacing w:after="0" w:line="22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5980" w:type="dxa"/>
        <w:tblCellMar>
          <w:top w:w="0" w:type="dxa"/>
          <w:left w:w="0" w:type="dxa"/>
          <w:bottom w:w="0" w:type="dxa"/>
          <w:right w:w="0" w:type="dxa"/>
        </w:tblCellMar>
      </w:tblPr>
      <w:tr>
        <w:trPr>
          <w:trHeight w:val="201"/>
        </w:trPr>
        <w:tc>
          <w:tcPr>
            <w:tcW w:w="1220" w:type="dxa"/>
            <w:vAlign w:val="bottom"/>
            <w:tcBorders>
              <w:top w:val="single" w:sz="8" w:color="auto"/>
            </w:tcBorders>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80" w:type="dxa"/>
            <w:vAlign w:val="bottom"/>
            <w:tcBorders>
              <w:top w:val="single" w:sz="8" w:color="auto"/>
            </w:tcBorders>
          </w:tcPr>
          <w:p>
            <w:pPr>
              <w:jc w:val="center"/>
              <w:ind w:lef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8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260" w:type="dxa"/>
            <w:vAlign w:val="bottom"/>
            <w:tcBorders>
              <w:top w:val="single" w:sz="8" w:color="auto"/>
            </w:tcBorders>
          </w:tcPr>
          <w:p>
            <w:pPr>
              <w:jc w:val="center"/>
              <w:ind w:left="5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April 28,</w:t>
            </w:r>
          </w:p>
        </w:tc>
      </w:tr>
      <w:tr>
        <w:trPr>
          <w:trHeight w:val="238"/>
        </w:trPr>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bl>
    <w:p>
      <w:pPr>
        <w:spacing w:after="0" w:line="1" w:lineRule="exact"/>
        <w:rPr>
          <w:sz w:val="20"/>
          <w:szCs w:val="20"/>
          <w:color w:val="auto"/>
        </w:rPr>
      </w:pPr>
    </w:p>
    <w:p>
      <w:pPr>
        <w:sectPr>
          <w:pgSz w:w="11900" w:h="16838" w:orient="portrait"/>
          <w:cols w:equalWidth="0" w:num="2">
            <w:col w:w="8480" w:space="220"/>
            <w:col w:w="2540"/>
          </w:cols>
          <w:pgMar w:left="320" w:top="115"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60" w:type="dxa"/>
            <w:vAlign w:val="bottom"/>
            <w:tcBorders>
              <w:top w:val="single" w:sz="8" w:color="auto"/>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220" w:type="dxa"/>
            <w:vAlign w:val="bottom"/>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51,712</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62,431</w:t>
            </w:r>
          </w:p>
        </w:tc>
        <w:tc>
          <w:tcPr>
            <w:tcW w:w="100" w:type="dxa"/>
            <w:vAlign w:val="bottom"/>
            <w:shd w:val="clear" w:color="auto" w:fill="CCEEFF"/>
          </w:tcPr>
          <w:p>
            <w:pPr>
              <w:spacing w:after="0"/>
              <w:rPr>
                <w:sz w:val="22"/>
                <w:szCs w:val="22"/>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61,443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61,613</w:t>
            </w:r>
          </w:p>
        </w:tc>
      </w:tr>
      <w:tr>
        <w:trPr>
          <w:trHeight w:val="216"/>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common shares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60,974</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61,817</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Earnings per share attributable to Photronics, Inc.</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5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0.84</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7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12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May 4,</w:t>
            </w:r>
          </w:p>
        </w:tc>
        <w:tc>
          <w:tcPr>
            <w:tcW w:w="112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260" w:type="dxa"/>
            <w:vAlign w:val="bottom"/>
          </w:tcPr>
          <w:p>
            <w:pPr>
              <w:spacing w:after="0"/>
              <w:rPr>
                <w:sz w:val="21"/>
                <w:szCs w:val="21"/>
                <w:color w:val="auto"/>
              </w:rPr>
            </w:pPr>
          </w:p>
        </w:tc>
        <w:tc>
          <w:tcPr>
            <w:tcW w:w="28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 in shares</w:t>
            </w:r>
          </w:p>
        </w:tc>
        <w:tc>
          <w:tcPr>
            <w:tcW w:w="17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3"/>
              </w:rPr>
              <w:t>1,099</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793</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310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1,099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793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2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23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2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26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As of May 4, 2025, the Company’s unrecognized commitments for the acquisition of property, plant and equipment were $164.8 million, including commitments with a remaining term in excess of one year of approximately $122.2 million. This amount does not include the Company’s commitments under the Company’s debt and lease arrangements.</w:t>
      </w:r>
    </w:p>
    <w:p>
      <w:pPr>
        <w:spacing w:after="0" w:line="176" w:lineRule="exact"/>
        <w:rPr>
          <w:sz w:val="20"/>
          <w:szCs w:val="20"/>
          <w:color w:val="auto"/>
        </w:rPr>
      </w:pPr>
    </w:p>
    <w:p>
      <w:pPr>
        <w:ind w:right="440" w:firstLine="324"/>
        <w:spacing w:after="0" w:line="312" w:lineRule="auto"/>
        <w:rPr>
          <w:sz w:val="20"/>
          <w:szCs w:val="20"/>
          <w:color w:val="auto"/>
        </w:rPr>
      </w:pPr>
      <w:r>
        <w:rPr>
          <w:rFonts w:ascii="Times New Roman" w:cs="Times New Roman" w:eastAsia="Times New Roman" w:hAnsi="Times New Roman"/>
          <w:sz w:val="17"/>
          <w:szCs w:val="17"/>
          <w:color w:val="auto"/>
        </w:rPr>
        <w:t>The Company is subject to various other claims that arise in the ordinary course of business. The Company believes that the Company’s potential liability under such claims, individually or in the aggregate, will not have a material effect on the Company’s consolidated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CHANGES IN ACCUMULATED OTHER COMPREHENSIVE (LOSS) INCOME BY COMPONENT</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(loss) income by component (net of tax) for the three-month and six-month periods ended May 4, 2025, and April 28,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May 4, 2025</w:t>
            </w:r>
          </w:p>
        </w:tc>
      </w:tr>
      <w:tr>
        <w:trPr>
          <w:trHeight w:val="194"/>
        </w:trPr>
        <w:tc>
          <w:tcPr>
            <w:tcW w:w="5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(119,629)</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(120,325)</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47,063</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(14,033)</w:t>
            </w:r>
          </w:p>
        </w:tc>
      </w:tr>
      <w:tr>
        <w:trPr>
          <w:trHeight w:val="223"/>
        </w:trPr>
        <w:tc>
          <w:tcPr>
            <w:tcW w:w="546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r>
      <w:tr>
        <w:trPr>
          <w:trHeight w:val="257"/>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2025</w:t>
            </w:r>
          </w:p>
        </w:tc>
        <w:tc>
          <w:tcPr>
            <w:tcW w:w="1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5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28, 2024</w:t>
            </w:r>
          </w:p>
        </w:tc>
      </w:tr>
      <w:tr>
        <w:trPr>
          <w:trHeight w:val="194"/>
        </w:trPr>
        <w:tc>
          <w:tcPr>
            <w:tcW w:w="5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2024</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(67,160)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(67,863)</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(39,116)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11,047</w:t>
            </w:r>
          </w:p>
        </w:tc>
      </w:tr>
      <w:tr>
        <w:trPr>
          <w:trHeight w:val="223"/>
        </w:trPr>
        <w:tc>
          <w:tcPr>
            <w:tcW w:w="546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40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r>
      <w:tr>
        <w:trPr>
          <w:trHeight w:val="256"/>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1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33"/>
        </w:trPr>
        <w:tc>
          <w:tcPr>
            <w:tcW w:w="5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Six Months Ended May 4, 2025</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54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1"/>
                <w:szCs w:val="21"/>
                <w:color w:val="auto"/>
              </w:rPr>
            </w:pPr>
          </w:p>
        </w:tc>
      </w:tr>
      <w:tr>
        <w:trPr>
          <w:trHeight w:val="216"/>
        </w:trPr>
        <w:tc>
          <w:tcPr>
            <w:tcW w:w="546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(85,587)</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(5,192)</w:t>
            </w:r>
          </w:p>
        </w:tc>
      </w:tr>
      <w:tr>
        <w:trPr>
          <w:trHeight w:val="223"/>
        </w:trPr>
        <w:tc>
          <w:tcPr>
            <w:tcW w:w="5460" w:type="dxa"/>
            <w:vAlign w:val="bottom"/>
          </w:tcPr>
          <w:p>
            <w:pPr>
              <w:spacing w:after="0"/>
              <w:rPr>
                <w:sz w:val="19"/>
                <w:szCs w:val="19"/>
                <w:color w:val="auto"/>
              </w:rPr>
            </w:pPr>
          </w:p>
        </w:tc>
        <w:tc>
          <w:tcPr>
            <w:tcW w:w="184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400" w:type="dxa"/>
            <w:vAlign w:val="bottom"/>
            <w:gridSpan w:val="2"/>
          </w:tcPr>
          <w:p>
            <w:pPr>
              <w:spacing w:after="0"/>
              <w:rPr>
                <w:sz w:val="19"/>
                <w:szCs w:val="19"/>
                <w:color w:val="auto"/>
              </w:rPr>
            </w:pPr>
          </w:p>
        </w:tc>
        <w:tc>
          <w:tcPr>
            <w:tcW w:w="880" w:type="dxa"/>
            <w:vAlign w:val="bottom"/>
            <w:gridSpan w:val="2"/>
          </w:tcPr>
          <w:p>
            <w:pPr>
              <w:spacing w:after="0"/>
              <w:rPr>
                <w:sz w:val="19"/>
                <w:szCs w:val="19"/>
                <w:color w:val="auto"/>
              </w:rPr>
            </w:pPr>
          </w:p>
        </w:tc>
      </w:tr>
      <w:tr>
        <w:trPr>
          <w:trHeight w:val="256"/>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4, 2025</w:t>
            </w:r>
          </w:p>
        </w:tc>
        <w:tc>
          <w:tcPr>
            <w:tcW w:w="16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460" w:type="dxa"/>
            <w:vAlign w:val="bottom"/>
          </w:tcPr>
          <w:p>
            <w:pPr>
              <w:spacing w:after="0"/>
              <w:rPr>
                <w:sz w:val="24"/>
                <w:szCs w:val="24"/>
                <w:color w:val="auto"/>
              </w:rPr>
            </w:pPr>
          </w:p>
        </w:tc>
        <w:tc>
          <w:tcPr>
            <w:tcW w:w="1680" w:type="dxa"/>
            <w:vAlign w:val="bottom"/>
          </w:tcPr>
          <w:p>
            <w:pPr>
              <w:jc w:val="right"/>
              <w:ind w:right="1355"/>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4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5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Six Months Ended April 28, 2024</w:t>
            </w:r>
          </w:p>
        </w:tc>
      </w:tr>
      <w:tr>
        <w:trPr>
          <w:trHeight w:val="194"/>
        </w:trPr>
        <w:tc>
          <w:tcPr>
            <w:tcW w:w="10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5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0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(88,044)</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23"/>
        </w:trPr>
        <w:tc>
          <w:tcPr>
            <w:tcW w:w="10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13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r>
      <w:tr>
        <w:trPr>
          <w:trHeight w:val="257"/>
        </w:trPr>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8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During the three-month period ended May 4, 2025, the Company repurchased 3.6 million shares at a cost of $72.1 million pursuant to Rule 10b-18 of the Exchange Act. During the six-month period ended May 4, 2025, the Company repurchased 3.8 million shares at a cost of $76.7 million pursuant to Rule 10b-18 of the Exchange Act. All shares repurchased under the program have been retired. No shares were repurchased during the three- or six-month period ended April 28, 2024. As of May 4, 2025, $23.3 million remained available under this authorization for the repurchase of additional shares.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324"/>
        <w:spacing w:after="0" w:line="281" w:lineRule="auto"/>
        <w:rPr>
          <w:sz w:val="20"/>
          <w:szCs w:val="20"/>
          <w:color w:val="auto"/>
        </w:rPr>
      </w:pPr>
      <w:r>
        <w:rPr>
          <w:rFonts w:ascii="Times New Roman" w:cs="Times New Roman" w:eastAsia="Times New Roman" w:hAnsi="Times New Roman"/>
          <w:sz w:val="17"/>
          <w:szCs w:val="17"/>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2024), that may cause actual results to materially differ from these expectations. See “Forward-Looking Statements”.</w:t>
      </w:r>
    </w:p>
    <w:p>
      <w:pPr>
        <w:spacing w:after="0" w:line="164"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typically two to three weeks of backlog for FPD photomasks and one to two weeks for IC photomasks. However, the demand for some IC photomasks has in the past expanded beyond the industry’s capacity to supply them within the traditional time period; thus, for some products, the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4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38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May 4,</w:t>
            </w:r>
          </w:p>
        </w:tc>
        <w:tc>
          <w:tcPr>
            <w:tcW w:w="11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Pr>
          <w:p>
            <w:pPr>
              <w:spacing w:after="0"/>
              <w:rPr>
                <w:sz w:val="16"/>
                <w:szCs w:val="16"/>
                <w:color w:val="auto"/>
              </w:rPr>
            </w:pPr>
          </w:p>
        </w:tc>
      </w:tr>
      <w:tr>
        <w:trPr>
          <w:trHeight w:val="245"/>
        </w:trPr>
        <w:tc>
          <w:tcPr>
            <w:tcW w:w="448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64.4</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63.5</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44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44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36.4</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27.5</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44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Note: All the following tabular comparisons, unless otherwise indicated, are for the three months ended May 4, 2025 (Q2 FY25), February 2, 2025 (Q1 FY25) and April 28, 2024 (Q2 FY24) and for the six months ended May 4, 2025 (YTD FY25) and April 28, 2024 (YTD FY24).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Q2 FY25 from revenue in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Revenue by Product Type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Q2 FY25 compared with Q1 FY25</w:t>
            </w:r>
          </w:p>
        </w:tc>
        <w:tc>
          <w:tcPr>
            <w:tcW w:w="608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Q2 FY25 compared with Q2 FY24   YTD FY25 compared with YTD FY24</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8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5"/>
              </w:rPr>
              <w:t>Increase</w:t>
            </w:r>
          </w:p>
        </w:tc>
        <w:tc>
          <w:tcPr>
            <w:tcW w:w="1120" w:type="dxa"/>
            <w:vAlign w:val="bottom"/>
            <w:tcBorders>
              <w:top w:val="single" w:sz="8" w:color="auto"/>
            </w:tcBorders>
          </w:tcPr>
          <w:p>
            <w:pPr>
              <w:jc w:val="right"/>
              <w:ind w:right="33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80" w:type="dxa"/>
            <w:vAlign w:val="bottom"/>
            <w:tcBorders>
              <w:top w:val="single" w:sz="8" w:color="auto"/>
            </w:tcBorders>
          </w:tcPr>
          <w:p>
            <w:pPr>
              <w:jc w:val="right"/>
              <w:ind w:right="47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4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Q2 FY25</w:t>
            </w:r>
          </w:p>
        </w:tc>
        <w:tc>
          <w:tcPr>
            <w:tcW w:w="200" w:type="dxa"/>
            <w:vAlign w:val="bottom"/>
          </w:tcPr>
          <w:p>
            <w:pPr>
              <w:spacing w:after="0"/>
              <w:rPr>
                <w:sz w:val="21"/>
                <w:szCs w:val="21"/>
                <w:color w:val="auto"/>
              </w:rPr>
            </w:pP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 w:type="dxa"/>
            <w:vAlign w:val="bottom"/>
          </w:tcPr>
          <w:p>
            <w:pPr>
              <w:spacing w:after="0"/>
              <w:rPr>
                <w:sz w:val="21"/>
                <w:szCs w:val="2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6"/>
        </w:trPr>
        <w:tc>
          <w:tcPr>
            <w:tcW w:w="1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1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1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175"/>
        </w:trPr>
        <w:tc>
          <w:tcPr>
            <w:tcW w:w="19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19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35.3%</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Changes in Revenue by Geographic Origin ($ in millions)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6"/>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Q2 FY25 compared with Q1 FY25</w:t>
            </w:r>
          </w:p>
        </w:tc>
        <w:tc>
          <w:tcPr>
            <w:tcW w:w="2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Q2 FY25 compared with Q2 FY24</w:t>
            </w: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YTD FY25 compared with YTD FY24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Revenue</w:t>
            </w:r>
          </w:p>
        </w:tc>
        <w:tc>
          <w:tcPr>
            <w:tcW w:w="120" w:type="dxa"/>
            <w:vAlign w:val="bottom"/>
          </w:tcPr>
          <w:p>
            <w:pPr>
              <w:spacing w:after="0"/>
              <w:rPr>
                <w:sz w:val="16"/>
                <w:szCs w:val="16"/>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40" w:type="dxa"/>
            <w:vAlign w:val="bottom"/>
          </w:tcPr>
          <w:p>
            <w:pPr>
              <w:spacing w:after="0"/>
              <w:rPr>
                <w:sz w:val="16"/>
                <w:szCs w:val="16"/>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Pr>
          <w:p>
            <w:pPr>
              <w:spacing w:after="0"/>
              <w:rPr>
                <w:sz w:val="16"/>
                <w:szCs w:val="16"/>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30"/>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1840" w:type="dxa"/>
            <w:vAlign w:val="bottom"/>
          </w:tcPr>
          <w:p>
            <w:pPr>
              <w:spacing w:after="0"/>
              <w:rPr>
                <w:sz w:val="21"/>
                <w:szCs w:val="21"/>
                <w:color w:val="auto"/>
              </w:rPr>
            </w:pPr>
          </w:p>
        </w:tc>
        <w:tc>
          <w:tcPr>
            <w:tcW w:w="10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Q2 FY25</w:t>
            </w:r>
          </w:p>
        </w:tc>
        <w:tc>
          <w:tcPr>
            <w:tcW w:w="108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0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14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4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14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93.0%</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42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7"/>
        </w:trPr>
        <w:tc>
          <w:tcPr>
            <w:tcW w:w="1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Revenue in Q2 FY25 of $211.0 million represented a decrease of 0.5% compared with Q1 FY25 primarily due to high-end weakness in IC and FPD revenue, and a decrease of 2.8% from Q2 FY24, due to mainstream weakness in IC revenue.</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IC revenue increased $1.9 million or 1.2 % in Q2 FY25 from Q1 FY25 primarily due to an increase in mainstream of $2.7 million or 2.9%. Comparing Q2 FY25 to Q2 FY24, IC revenue decreased $5.0 million or 3.1% mainly due to reduced mainstream demand in Asia and the United States. IC revenue decreased $8.7 million or 2.7 % in YTD FY25 from YTD FY24, mainly due to reduced mainstream demand in Asia and Europe, partially offset by high-end demand.</w:t>
      </w:r>
    </w:p>
    <w:p>
      <w:pPr>
        <w:spacing w:after="0" w:line="180"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FPD revenue decreased $3.0 million or 5.3% in Q2 FY25 from Q1 FY25 and $1.0 million or 1.7% from Q2 FY24 as a result of industry softness in High-end products, partially offset by increased demand in Mainstream products. FPD revenue decreased $1.5 million or 1.3% in YTD FY25 from YTD FY24 primarily the result of lower demand.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385"/>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 in millions)</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20" w:type="dxa"/>
            <w:vAlign w:val="bottom"/>
          </w:tcPr>
          <w:p>
            <w:pPr>
              <w:spacing w:after="0"/>
              <w:rPr>
                <w:sz w:val="24"/>
                <w:szCs w:val="24"/>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77.9</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75.5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79.3</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1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153.4</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158.5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spacing w:after="0"/>
              <w:rPr>
                <w:sz w:val="20"/>
                <w:szCs w:val="20"/>
                <w:color w:val="auto"/>
              </w:rPr>
            </w:pPr>
          </w:p>
        </w:tc>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36.9%</w:t>
            </w:r>
          </w:p>
        </w:tc>
        <w:tc>
          <w:tcPr>
            <w:tcW w:w="360" w:type="dxa"/>
            <w:vAlign w:val="bottom"/>
          </w:tcPr>
          <w:p>
            <w:pPr>
              <w:spacing w:after="0"/>
              <w:rPr>
                <w:sz w:val="20"/>
                <w:szCs w:val="20"/>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35.6%</w:t>
            </w:r>
          </w:p>
        </w:tc>
        <w:tc>
          <w:tcPr>
            <w:tcW w:w="1140" w:type="dxa"/>
            <w:vAlign w:val="bottom"/>
          </w:tcPr>
          <w:p>
            <w:pPr>
              <w:spacing w:after="0"/>
              <w:rPr>
                <w:sz w:val="20"/>
                <w:szCs w:val="20"/>
                <w:color w:val="auto"/>
              </w:rPr>
            </w:pPr>
          </w:p>
        </w:tc>
        <w:tc>
          <w:tcPr>
            <w:tcW w:w="1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36.5%</w:t>
            </w:r>
          </w:p>
        </w:tc>
        <w:tc>
          <w:tcPr>
            <w:tcW w:w="11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36.3%</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w:t>
            </w:r>
          </w:p>
        </w:tc>
        <w:tc>
          <w:tcPr>
            <w:tcW w:w="1000" w:type="dxa"/>
            <w:vAlign w:val="bottom"/>
          </w:tcPr>
          <w:p>
            <w:pPr>
              <w:spacing w:after="0"/>
              <w:rPr>
                <w:sz w:val="20"/>
                <w:szCs w:val="20"/>
                <w:color w:val="auto"/>
              </w:rPr>
            </w:pPr>
          </w:p>
        </w:tc>
      </w:tr>
    </w:tbl>
    <w:p>
      <w:pPr>
        <w:spacing w:after="0" w:line="1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Gross margin increased by 132 basis points in Q2 FY25 as compared to Q1 FY25, primarily as a result of the decrease in labor and benefits costs of 9.3%, or 103 basis points as a percentage of revenue and a decrease in equipment and other costs of goods sold of 2.3%, or 51 basis points as a percentage of revenue.</w:t>
      </w:r>
    </w:p>
    <w:p>
      <w:pPr>
        <w:spacing w:after="0" w:line="17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Gross margin increased by 40 basis points in Q2 FY25, from Q2 FY24, primarily as a result of the decrease in labor and benefits of 10.8%, or 95 basis points as a percentage of revenue and a decrease in material costs of 1.0%, or 44 basis points as a percentage of revenue. These favorable changes were partially offset by the unfavorable impact caused by the decrease in revenue of 2.8% from Q2 FY24.</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by 31 basis points in YTD FY25 as compared to YTD FY24, primarily as a result of the decrease in revenue of 2.4%, partially offset by decreased labor and benefits costs of 6.8%, or 52 basis points as a percentage of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$18.1 million in Q2 FY25, compared with $19.1 million in Q1 FY25, and $19.0 million in Q2 FY24. The $1.0 million decrease from Q1 FY25 was primarily the result of decreases in compensation and related expenses of $0.3 million and professional fees of $0.3 million. The $0.9 million decrease from Q2 FY24 was primarily the result of decreased compensation and related expenses of $0.8 million.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 were $37.2 million in YTD FY25, remaining flat compared with $37.3 million in YTD FY24.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$4.1 million in Q2 FY25, compared with $4.3 million in Q1 FY25, and $4.3 million in Q2 FY24. The decrease from Q1 FY25 was primarily caused by reduced qualification activities in Asia.</w:t>
      </w:r>
    </w:p>
    <w:p>
      <w:pPr>
        <w:spacing w:after="0" w:line="176"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$8.3 million in YTD FY25, compared with $7.7 million in YTD FY24. The $0.6 million increase from YTD FY24 was a result of increased development activities in the 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 ($ in millions)</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20" w:type="dxa"/>
            <w:vAlign w:val="bottom"/>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YTD FY25</w:t>
            </w:r>
          </w:p>
        </w:tc>
        <w:tc>
          <w:tcPr>
            <w:tcW w:w="220" w:type="dxa"/>
            <w:vAlign w:val="bottom"/>
          </w:tcPr>
          <w:p>
            <w:pPr>
              <w:spacing w:after="0"/>
              <w:rPr>
                <w:sz w:val="24"/>
                <w:szCs w:val="24"/>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00" w:type="dxa"/>
            <w:vAlign w:val="bottom"/>
          </w:tcPr>
          <w:p>
            <w:pPr>
              <w:spacing w:after="0"/>
              <w:rPr>
                <w:sz w:val="24"/>
                <w:szCs w:val="24"/>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7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7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46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r>
      <w:tr>
        <w:trPr>
          <w:trHeight w:val="27"/>
        </w:trPr>
        <w:tc>
          <w:tcPr>
            <w:tcW w:w="46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decreased in Q2 FY25 from Q1 FY25 by $50.8 million and from Q2 FY24 by $46.3 million, primarily due to foreign currency impacts. The foreign currency impacts were primarily driven by unfavorable movements of the New Taiwan dollar and the South Korean won, against the U.S. dollar.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Other Income (expense) decreased in YTD FY25 from YTD FY24 by $17.6 million, primarily due to foreign currency impacts. The foreign currency impacts were primarily driven by unfavorable movements of the New Taiwan dollar and the South Korean won, against the U.S. dollar.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 in millions)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YTD</w:t>
            </w:r>
          </w:p>
        </w:tc>
        <w:tc>
          <w:tcPr>
            <w:tcW w:w="200" w:type="dxa"/>
            <w:vAlign w:val="bottom"/>
          </w:tcPr>
          <w:p>
            <w:pPr>
              <w:spacing w:after="0"/>
              <w:rPr>
                <w:sz w:val="24"/>
                <w:szCs w:val="24"/>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YTD</w:t>
            </w:r>
          </w:p>
        </w:tc>
      </w:tr>
      <w:tr>
        <w:trPr>
          <w:trHeight w:val="245"/>
        </w:trPr>
        <w:tc>
          <w:tcPr>
            <w:tcW w:w="4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Q2 FY25</w:t>
            </w:r>
          </w:p>
        </w:tc>
        <w:tc>
          <w:tcPr>
            <w:tcW w:w="16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14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220" w:type="dxa"/>
            <w:vAlign w:val="bottom"/>
          </w:tcPr>
          <w:p>
            <w:pPr>
              <w:spacing w:after="0"/>
              <w:rPr>
                <w:sz w:val="21"/>
                <w:szCs w:val="21"/>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FY25</w:t>
            </w:r>
          </w:p>
        </w:tc>
        <w:tc>
          <w:tcPr>
            <w:tcW w:w="200" w:type="dxa"/>
            <w:vAlign w:val="bottom"/>
          </w:tcPr>
          <w:p>
            <w:pPr>
              <w:spacing w:after="0"/>
              <w:rPr>
                <w:sz w:val="21"/>
                <w:szCs w:val="21"/>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FY24</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18.9</w:t>
            </w: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20.2</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24.6</w:t>
            </w: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34.9</w:t>
            </w:r>
          </w:p>
        </w:tc>
        <w:tc>
          <w:tcPr>
            <w:tcW w:w="160" w:type="dxa"/>
            <w:vAlign w:val="bottom"/>
            <w:shd w:val="clear" w:color="auto" w:fill="CCEEFF"/>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20"/>
                <w:szCs w:val="20"/>
                <w:color w:val="auto"/>
              </w:rPr>
            </w:pPr>
          </w:p>
        </w:tc>
        <w:tc>
          <w:tcPr>
            <w:tcW w:w="11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98"/>
              </w:rPr>
              <w:t>26.8%</w:t>
            </w:r>
          </w:p>
        </w:tc>
      </w:tr>
    </w:tbl>
    <w:p>
      <w:pPr>
        <w:spacing w:after="0" w:line="17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are January 1, 2024, and January 1, 2025, for different aspects of the directive. A significant number of other countries are expected to also implement similar legislation with varying effective dates. The Company is currently subject to Pillar Two, but we estimate that the financial impact is immaterial. We will continuously evaluate the potential impact of the Pillar Two Framework to ensure we are compliant in the future.</w:t>
      </w:r>
    </w:p>
    <w:p>
      <w:pPr>
        <w:spacing w:after="0" w:line="183"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Q2 FY25, compared with Q1 FY25 and with Q2 FY24, is primarily due to a decrease in foreign taxes as well as changes in the jurisdictional mix of earnings.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YTD FY25 compared with YTD FY24, is primarily due to a decrease in foreign taxes as well as changes in the jurisdictional mix of earnings.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was $15.4 million in Q2 FY25, compared with $15.4 million in Q1 FY25 and $20.1 million in Q2 FY24; the decrease year over year was the result of a net decrease in the net income of the Company’s joint venture operations. Net income attributable to noncontrolling interests was $30.8 million in YTD FY25, compared with $33.0 million in YTD FY24. The decrease was a result of decreased net income at the Company’s joint-venture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Cash and cash equivalents were $530.7 million and $598.5 million as of May 4, 2025, and October 31, 2024, respectively. As of May 4, 2025, total cash and cash equivalents included $431.9 million held by foreign subsidiaries, including an aggregate of $349.9 million held by our joint ventures in Taiwan and China. In addition, we currently have CNY 200 million (approximately $27.5 million) of borrowing capacity in China to support local operations. See Note 7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to the consolidated financial statements for additional information on the Company’s outstanding debt and currently available financing. The Company’s primary sources of liquidity are the Company’s cash on hand and cash we generate from operations.</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the Company’s capital expenditures and ongoing operations. These reviews may result in the Company’s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the Company’s liquidity, including available financing, is sufficient to meet the Company’s requirements through the next twelve months and thereafter for the foreseeable future. Through the utilization of the Company’s existing liquidity, cash we generate from operations and short-term investments, we plan to continue to invest in the Company’s business, with the Company’s investments targeted to align with the Company’s customers’ technology road maps. In addition, we stand ready to invest in mergers, acquisitions, or strategic partnerships, should a suitable opportunity arise.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estimate capital expenditures for the Company’s fiscal year 2025 will be approximately $200 million mainly in Asia and the U.S.; these investments will be targeted towards high-end and mainstream capacity that will increase the Company’s operating capability and efficiency and enable us to support customers’ near-term demands. As of May 4, 2025, we had outstanding capital commitments of approximately $164.8 million and accrued liabilities related to capital equipment purchases of approximately $14.5 million. Although payment timing could vary, primarily as a result of the timing of tool delivery, installation and testing, we currently estimate that we will fund $152.3 million of the Company’s total $179.3 million committed and recognized obligations for capital expenditures over the next twelve months.</w:t>
      </w:r>
    </w:p>
    <w:p>
      <w:pPr>
        <w:spacing w:after="0" w:line="187" w:lineRule="exact"/>
        <w:rPr>
          <w:sz w:val="20"/>
          <w:szCs w:val="20"/>
          <w:color w:val="auto"/>
        </w:rPr>
      </w:pPr>
    </w:p>
    <w:p>
      <w:pPr>
        <w:jc w:val="both"/>
        <w:ind w:right="380" w:firstLine="324"/>
        <w:spacing w:after="0" w:line="261"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to $100 million. During the six-month period ended May 4, 2025, the Company repurchased 3.8 million shares for $76.7 million. As of May 4, 2025, there was $23.3 million remaining under the August 28, 2024 authorization. Depending on market conditions, we may utilize some or the entire remaining approved amount to reacquire additional shares.</w:t>
      </w:r>
    </w:p>
    <w:p>
      <w:pPr>
        <w:spacing w:after="0" w:line="17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6 </w:t>
      </w:r>
      <w:r>
        <w:rPr>
          <w:rFonts w:ascii="Times New Roman" w:cs="Times New Roman" w:eastAsia="Times New Roman" w:hAnsi="Times New Roman"/>
          <w:sz w:val="18"/>
          <w:szCs w:val="18"/>
          <w:i w:val="1"/>
          <w:iCs w:val="1"/>
          <w:color w:val="auto"/>
        </w:rPr>
        <w:t>– PDMCX Joint Venture</w:t>
      </w:r>
      <w:r>
        <w:rPr>
          <w:rFonts w:ascii="Times New Roman" w:cs="Times New Roman" w:eastAsia="Times New Roman" w:hAnsi="Times New Roman"/>
          <w:sz w:val="18"/>
          <w:szCs w:val="18"/>
          <w:color w:val="auto"/>
        </w:rPr>
        <w:t xml:space="preserve"> of the Company’s consolidated financial statements, DNP, the noncontrolling interest in the Company’s China-based joint venture has, under certain circumstances, the right to put its interest in the joint venture to Photronics, or to purchase the Company’s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May 4, 2025, Photronics and DNP each had net investments in this joint venture of approximately $148.5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FY25</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20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 Net cash provided by operating activities 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decreased by $8.1 million in FY25, compared with the same period of FY24, primarily due to decreased net income.</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Net cash flows used in investing activities decreased by $33.9 million in FY25, compared to the cash flows used in investing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in the same period of FY24, primarily driven by an increase in proceeds from short-term investments of $28.3 million and a decrease of purchases of short term investments of $38.3 million, partially offset by an increase of purchases of property, plant and equipment of $32.4 million.</w:t>
      </w:r>
    </w:p>
    <w:p>
      <w:pPr>
        <w:spacing w:after="0" w:line="173" w:lineRule="exact"/>
        <w:rPr>
          <w:sz w:val="20"/>
          <w:szCs w:val="20"/>
          <w:color w:val="auto"/>
        </w:rPr>
      </w:pPr>
    </w:p>
    <w:p>
      <w:pPr>
        <w:jc w:val="both"/>
        <w:ind w:right="16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Net cash used in financing activities increased by $90.4 million in the first half of FY25, compared to the same period of FY24.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was primarily driven by the repurchase of the Company’s common shares as part of the Share Repurchase Program of $76.7 million and increase of debt repayments of $15.2 million.</w:t>
      </w:r>
    </w:p>
    <w:p>
      <w:pPr>
        <w:spacing w:after="0" w:line="17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Effects of exchange rate changes on the Company’s cash, cash equivalents, and restricted cash balances decreased by $2.1 million from unfavorable $3.8 million during the first half of FY24 to unfavorable $1.7 million during the same period of FY25.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diluted earnings per share are considered as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spacing w:after="0" w:line="1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U.S. GAAP to Non-GAAP Income</w:t>
      </w:r>
      <w:r>
        <w:rPr>
          <w:rFonts w:ascii="Times New Roman" w:cs="Times New Roman" w:eastAsia="Times New Roman" w:hAnsi="Times New Roman"/>
          <w:sz w:val="18"/>
          <w:szCs w:val="18"/>
          <w:color w:val="auto"/>
        </w:rPr>
        <w:t xml:space="preserve"> for the indicated periods. The columns may not foot due to rounding.</w:t>
      </w:r>
    </w:p>
    <w:p>
      <w:pPr>
        <w:spacing w:after="0" w:line="29"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540"/>
              <w:spacing w:after="0" w:line="201" w:lineRule="exact"/>
              <w:rPr>
                <w:sz w:val="20"/>
                <w:szCs w:val="20"/>
                <w:color w:val="auto"/>
              </w:rPr>
            </w:pPr>
            <w:r>
              <w:rPr>
                <w:rFonts w:ascii="Times New Roman" w:cs="Times New Roman" w:eastAsia="Times New Roman" w:hAnsi="Times New Roman"/>
                <w:sz w:val="18"/>
                <w:szCs w:val="18"/>
                <w:b w:val="1"/>
                <w:bCs w:val="1"/>
                <w:color w:val="auto"/>
              </w:rPr>
              <w:t>May 4,</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7"/>
                <w:szCs w:val="17"/>
                <w:color w:val="auto"/>
              </w:rPr>
            </w:pPr>
          </w:p>
        </w:tc>
      </w:tr>
      <w:tr>
        <w:trPr>
          <w:trHeight w:val="245"/>
        </w:trPr>
        <w:tc>
          <w:tcPr>
            <w:tcW w:w="73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Net Income: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Income attributable to Photronics, Inc. shareholders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36,251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loss (gain)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(18,443)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(14,766)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above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3,489</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32,383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60,974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62,409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EPS: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diluted earnings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Effects of the above non-GAAP adjustments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current business outlook and guidance was provided in the Photronics Q2 FY25 earnings press release, earnings presentation, and financial results conference call, but is not incorporated herein. These can be accessed in the investor section of our website - </w:t>
      </w:r>
      <w:r>
        <w:rPr>
          <w:rFonts w:ascii="Times New Roman" w:cs="Times New Roman" w:eastAsia="Times New Roman" w:hAnsi="Times New Roman"/>
          <w:sz w:val="18"/>
          <w:szCs w:val="18"/>
          <w:u w:val="single" w:color="auto"/>
          <w:color w:val="auto"/>
        </w:rPr>
        <w:t>www.photronics.com</w:t>
      </w:r>
      <w:r>
        <w:rPr>
          <w:rFonts w:ascii="Times New Roman" w:cs="Times New Roman" w:eastAsia="Times New Roman" w:hAnsi="Times New Roman"/>
          <w:sz w:val="18"/>
          <w:szCs w:val="18"/>
          <w:color w:val="auto"/>
        </w:rPr>
        <w:t>. Information included on our website is not incorporated in this Form 10-Q.</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Q2 FY25 earnings press release, and the related financial results conference call and earnings presentation involve a number of risks and uncertainties, some of which were discussed in Part I, Item 1A of our 2024 Form 10-K. These factors and a number of other unforeseeable factors could cause actual results to differ materially from our expectations.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0" w:firstLine="243"/>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2024 Form 10-K for discussion of our critical accounting estimates. There have been no changes to our critical accounting estimates since the filing of our Form 10-K for the year ended October 31, 2024.</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and the euro. In addition, we engage in transactions and have exposures to the Japanese yen.</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May 4, 2025,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$71.3 million, which represents an increase of $8.6 million from our exposure at February 2, 2025. Our most significant exposures at May 4, 2025, were exposures of the South Korean won, the Chinese yuan, and the New Taiwan dollar to the U.S. dollar, which were, respectively, $25.3 million, $8.6 million, and $34.4 million at that date. We do not believe that a 10% change in the exchange rates of non-US dollar currencies, other than the aforementioned currencies and the Japanese yen, would have had a material effect on our May 4, 2025,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A 10% adverse or favorable movement in the interest rates on our variable rate borrowings would not have had a material effect on the Company’s May 4, 2025, condensed consolidated financial statements, as there were no variable rate borrowings outstanding as of the balance sheet date.</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40" w:firstLine="330"/>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33"/>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500" w:firstLine="342"/>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second fiscal quarter ended May 4, 2025,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12 within Part I,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have been no material changes, except the paragraph below, to our risk factors as set forth in “Item 1A. Risk Factors” in our 2024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Tariffs and Global Trade Policies</w:t>
      </w:r>
    </w:p>
    <w:p>
      <w:pPr>
        <w:spacing w:after="0" w:line="229" w:lineRule="exact"/>
        <w:rPr>
          <w:sz w:val="20"/>
          <w:szCs w:val="20"/>
          <w:color w:val="auto"/>
        </w:rPr>
      </w:pPr>
    </w:p>
    <w:p>
      <w:pPr>
        <w:ind w:right="20" w:firstLine="310"/>
        <w:spacing w:after="0" w:line="254" w:lineRule="auto"/>
        <w:rPr>
          <w:sz w:val="20"/>
          <w:szCs w:val="20"/>
          <w:color w:val="auto"/>
        </w:rPr>
      </w:pPr>
      <w:r>
        <w:rPr>
          <w:rFonts w:ascii="Times New Roman" w:cs="Times New Roman" w:eastAsia="Times New Roman" w:hAnsi="Times New Roman"/>
          <w:sz w:val="18"/>
          <w:szCs w:val="18"/>
          <w:color w:val="auto"/>
        </w:rPr>
        <w:t>In the second quarter of FY25, new tariffs were announced on imports to the U.S., including additional tariffs on imports from China, Taiwan, South Korea, Japan and the European Union, among others, followed by various modifications and delays. In response, several countries have imposed, or threatened to impose, reciprocal tariffs on imports from the U.S. and other retaliatory measures. Further changes are expected to be made in the future, which may include additional sector-based tariffs or other measures. The U.S. Department of Commerce has initiated an investigation under Section 232 of the Trade Expansion Act of 1962, as amended, into, among other things, imports of semiconductors, semiconductor manufacturing equipment, and their derivative products, including downstream products that contain semiconductors. Tariffs and trade restrictions may increase costs and complexity in our supply chain, including the procurement of semiconductor manufacturing equipment, raw materials, and critical components. They may also elevate the cost of our products, reduce demand, and negatively affect customer purchasing behavior. These risks, individually or collectively, could have a material adverse effect on our business, financial condition, and results of operations.</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us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During the six-month period ended May 4, 2025, the Company repurchased 3.8 million shares at a cost of $76.7 million pursuant to Rule 10b-18 of the Exchange Act. As of May 4, 2025, $23.3 million remained available under this authorization for the repurchase of additional shares.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the Company’s repurchase of common stock during the second quarter of fiscal year 2025. This table excludes shares repurchased to settle employee tax withholding related to the vesting of stock awards.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40" w:type="dxa"/>
            <w:vAlign w:val="bottom"/>
          </w:tcPr>
          <w:p>
            <w:pPr>
              <w:spacing w:after="0"/>
              <w:rPr>
                <w:sz w:val="18"/>
                <w:szCs w:val="18"/>
                <w:color w:val="auto"/>
              </w:rPr>
            </w:pPr>
          </w:p>
        </w:tc>
        <w:tc>
          <w:tcPr>
            <w:tcW w:w="1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16"/>
        </w:trPr>
        <w:tc>
          <w:tcPr>
            <w:tcW w:w="8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4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45"/>
        </w:trPr>
        <w:tc>
          <w:tcPr>
            <w:tcW w:w="8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72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3, 2025 – March 2, 2025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 2025 – March 30, 2025</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2,262,912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2,262,912</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 – May 4, 2025</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1,352,287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17.99</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1,352,287</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7"/>
        </w:trPr>
        <w:tc>
          <w:tcPr>
            <w:tcW w:w="8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9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3,615,199</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3,615,199</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DEFAULTS UPON SENIOR SECURITIES</w:t>
            </w: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None.</w:t>
            </w:r>
          </w:p>
        </w:tc>
        <w:tc>
          <w:tcPr>
            <w:tcW w:w="4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MINE SAFETY DISCLOSURES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No such plans or arrangements were adopted or terminated, including by modification, by any director or officer (as defined in Rule 16a-1 under the Exchange Act) during the quarter ended May 4,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Indemnification Agreements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June 9, 2025, the Company entered into customary indemnification agreements with each of its directors. These agreements require the Company to provide indemnification and expense reimbursement to the director for losses incurred in legal proceedings related to his or her service as Company director in certain circumstances and to advance funds to the director to pay expenses as they are incurred.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120" w:type="dxa"/>
            <w:vAlign w:val="bottom"/>
            <w:gridSpan w:val="3"/>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1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20" w:type="dxa"/>
            <w:vAlign w:val="bottom"/>
            <w:gridSpan w:val="11"/>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gridSpan w:val="3"/>
            <w:vMerge w:val="restart"/>
          </w:tcPr>
          <w:p>
            <w:pPr>
              <w:ind w:left="2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Pr>
          <w:p>
            <w:pPr>
              <w:spacing w:after="0"/>
              <w:rPr>
                <w:sz w:val="17"/>
                <w:szCs w:val="17"/>
                <w:color w:val="auto"/>
              </w:rPr>
            </w:pP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center"/>
              <w:ind w:right="120"/>
              <w:spacing w:after="0" w:line="196" w:lineRule="exact"/>
              <w:rPr>
                <w:sz w:val="20"/>
                <w:szCs w:val="20"/>
                <w:color w:val="auto"/>
              </w:rPr>
            </w:pPr>
            <w:r>
              <w:rPr>
                <w:rFonts w:ascii="Times New Roman" w:cs="Times New Roman" w:eastAsia="Times New Roman" w:hAnsi="Times New Roman"/>
                <w:sz w:val="18"/>
                <w:szCs w:val="18"/>
                <w:b w:val="1"/>
                <w:bCs w:val="1"/>
                <w:color w:val="auto"/>
                <w:w w:val="88"/>
              </w:rPr>
              <w:t>Furnished</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20" w:type="dxa"/>
            <w:vAlign w:val="bottom"/>
            <w:gridSpan w:val="3"/>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right w:val="single" w:sz="8" w:color="auto"/>
            </w:tcBorders>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40" w:type="dxa"/>
            <w:vAlign w:val="bottom"/>
            <w:gridSpan w:val="5"/>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7"/>
                <w:szCs w:val="17"/>
                <w:color w:val="auto"/>
              </w:rPr>
            </w:pPr>
          </w:p>
        </w:tc>
        <w:tc>
          <w:tcPr>
            <w:tcW w:w="61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160" w:type="dxa"/>
            <w:vAlign w:val="bottom"/>
            <w:gridSpan w:val="7"/>
          </w:tcPr>
          <w:p>
            <w:pPr>
              <w:ind w:left="160"/>
              <w:spacing w:after="0" w:line="196" w:lineRule="exact"/>
              <w:rPr>
                <w:sz w:val="20"/>
                <w:szCs w:val="20"/>
                <w:color w:val="auto"/>
              </w:rPr>
            </w:pPr>
            <w:r>
              <w:rPr>
                <w:rFonts w:ascii="Times New Roman" w:cs="Times New Roman" w:eastAsia="Times New Roman" w:hAnsi="Times New Roman"/>
                <w:sz w:val="18"/>
                <w:szCs w:val="18"/>
                <w:b w:val="1"/>
                <w:bCs w:val="1"/>
                <w:color w:val="auto"/>
              </w:rPr>
              <w:t>Filing Date   Herewith</w:t>
            </w:r>
          </w:p>
        </w:tc>
        <w:tc>
          <w:tcPr>
            <w:tcW w:w="0" w:type="dxa"/>
            <w:vAlign w:val="bottom"/>
          </w:tcPr>
          <w:p>
            <w:pPr>
              <w:spacing w:after="0"/>
              <w:rPr>
                <w:sz w:val="1"/>
                <w:szCs w:val="1"/>
                <w:color w:val="auto"/>
              </w:rPr>
            </w:pPr>
          </w:p>
        </w:tc>
      </w:tr>
      <w:tr>
        <w:trPr>
          <w:trHeight w:val="453"/>
        </w:trPr>
        <w:tc>
          <w:tcPr>
            <w:tcW w:w="1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2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Form of Director Indemnification Agreement</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20" w:type="dxa"/>
            <w:vAlign w:val="bottom"/>
            <w:gridSpan w:val="3"/>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CCEEFF"/>
            </w:tcBorders>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3"/>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1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3"/>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22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2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20" w:type="dxa"/>
            <w:vAlign w:val="bottom"/>
            <w:gridSpan w:val="4"/>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20" w:type="dxa"/>
            <w:vAlign w:val="bottom"/>
            <w:gridSpan w:val="3"/>
            <w:shd w:val="clear" w:color="auto" w:fill="CCEEFF"/>
          </w:tcPr>
          <w:p>
            <w:pPr>
              <w:jc w:val="center"/>
              <w:ind w:right="20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6220" w:type="dxa"/>
            <w:vAlign w:val="bottom"/>
            <w:tcBorders>
              <w:top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2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220" w:type="dxa"/>
            <w:vAlign w:val="bottom"/>
            <w:gridSpan w:val="4"/>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20" w:type="dxa"/>
            <w:vAlign w:val="bottom"/>
            <w:gridSpan w:val="4"/>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101)</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71"/>
        </w:trPr>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gridSpan w:val="4"/>
          </w:tcPr>
          <w:p>
            <w:pPr>
              <w:ind w:left="4640"/>
              <w:spacing w:after="0"/>
              <w:rPr>
                <w:sz w:val="20"/>
                <w:szCs w:val="20"/>
                <w:color w:val="auto"/>
              </w:rPr>
            </w:pPr>
            <w:r>
              <w:rPr>
                <w:rFonts w:ascii="Times New Roman" w:cs="Times New Roman" w:eastAsia="Times New Roman" w:hAnsi="Times New Roman"/>
                <w:sz w:val="14"/>
                <w:szCs w:val="14"/>
                <w:color w:val="auto"/>
              </w:rPr>
              <w:t>36</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6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602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June 11, 2025</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INDEMNIFICATION AGREEMENT</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This Indemnification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dated as of June 9, 2025, is by and between PHOTRONICS, INC., a Connecticut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[NAME OF DIRECTOR] (the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Indemnitee is a director of the Company/the Company expects Indemnitee to join the Company as a director;</w:t>
      </w:r>
    </w:p>
    <w:p>
      <w:pPr>
        <w:spacing w:after="0" w:line="22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WHEREAS, both the Company and Indemnitee recognize the increased risk of litigation and other claims being asserted against directors and officers of public companies;</w:t>
      </w:r>
    </w:p>
    <w:p>
      <w:pPr>
        <w:spacing w:after="0" w:line="158"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WHEREAS,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determined that enhancing the ability of the Company to retain and attract as directors and officers the most capable persons is in the best interests of the Company and that the Company therefore should seek to assure such persons that indemnification and insurance coverage is available; and</w:t>
      </w:r>
    </w:p>
    <w:p>
      <w:pPr>
        <w:spacing w:after="0" w:line="17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WHEREAS, in recognition of the need to provide Indemnitee with substantial protection against personal liability, in order to procure Indemnitee’s [continued] service as a director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Times New Roman" w:cs="Times New Roman" w:eastAsia="Times New Roman" w:hAnsi="Times New Roman"/>
          <w:sz w:val="18"/>
          <w:szCs w:val="18"/>
          <w:b w:val="1"/>
          <w:bCs w:val="1"/>
          <w:color w:val="auto"/>
        </w:rPr>
        <w:t>“Constituent Documents”</w:t>
      </w:r>
      <w:r>
        <w:rPr>
          <w:rFonts w:ascii="Times New Roman" w:cs="Times New Roman" w:eastAsia="Times New Roman" w:hAnsi="Times New Roman"/>
          <w:sz w:val="18"/>
          <w:szCs w:val="18"/>
          <w:color w:val="auto"/>
        </w:rPr>
        <w:t>), any change in the composition of the Board or any change in control or business combination transaction relating to the Company), the Company wishes to provide in this Agreement for the indemnification of, and the advancement of Expenses (as defined in Section 1(f) below) to, Indemnitee as set forth in this Agreement and, to the extent insurance is maintained, for the [continued] coverage of Indemnitee under the Company’s directors’ and officers’ liability insurance policies.</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Indemnitee’s agreement to [continue to] provide services to the Company, the parties agree as follows:</w:t>
      </w:r>
    </w:p>
    <w:p>
      <w:pPr>
        <w:spacing w:after="0" w:line="162" w:lineRule="exact"/>
        <w:rPr>
          <w:sz w:val="20"/>
          <w:szCs w:val="20"/>
          <w:color w:val="auto"/>
        </w:rPr>
      </w:pPr>
    </w:p>
    <w:p>
      <w:pPr>
        <w:ind w:left="1340" w:hanging="684"/>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221" w:lineRule="exact"/>
        <w:rPr>
          <w:rFonts w:ascii="Times New Roman" w:cs="Times New Roman" w:eastAsia="Times New Roman" w:hAnsi="Times New Roman"/>
          <w:sz w:val="18"/>
          <w:szCs w:val="18"/>
          <w:color w:val="auto"/>
        </w:rPr>
      </w:pPr>
    </w:p>
    <w:p>
      <w:pPr>
        <w:ind w:left="660" w:right="120" w:firstLine="644"/>
        <w:spacing w:after="0" w:line="286" w:lineRule="auto"/>
        <w:tabs>
          <w:tab w:leader="none" w:pos="19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Owner” </w:t>
      </w:r>
      <w:r>
        <w:rPr>
          <w:rFonts w:ascii="Times New Roman" w:cs="Times New Roman" w:eastAsia="Times New Roman" w:hAnsi="Times New Roman"/>
          <w:sz w:val="18"/>
          <w:szCs w:val="18"/>
          <w:color w:val="auto"/>
        </w:rPr>
        <w:t>has the meaning given to the term “beneficial owner” in Rule 13d-3 under the Securities Exchange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 the occurrence after the date of this Agreement of any of the following events:</w:t>
      </w:r>
    </w:p>
    <w:p>
      <w:pPr>
        <w:spacing w:after="0" w:line="229" w:lineRule="exact"/>
        <w:rPr>
          <w:rFonts w:ascii="Times New Roman" w:cs="Times New Roman" w:eastAsia="Times New Roman" w:hAnsi="Times New Roman"/>
          <w:sz w:val="18"/>
          <w:szCs w:val="18"/>
          <w:color w:val="auto"/>
        </w:rPr>
      </w:pPr>
    </w:p>
    <w:p>
      <w:pPr>
        <w:ind w:left="1300" w:right="40" w:firstLine="652"/>
        <w:spacing w:after="0" w:line="261" w:lineRule="auto"/>
        <w:tabs>
          <w:tab w:leader="none" w:pos="256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directly or indirectly, of securities of the Company representing 15% or more of the Company’s then outstanding Voting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8" w:name="page39"/>
    <w:bookmarkEnd w:id="38"/>
    <w:p>
      <w:pPr>
        <w:ind w:left="180" w:right="220" w:firstLine="652"/>
        <w:spacing w:after="0" w:line="261" w:lineRule="auto"/>
        <w:tabs>
          <w:tab w:leader="none" w:pos="14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or consolidation, unless immediately following such reorganization, merger or consolidation, all of the Beneficial Owners of the Voting Securities of the Company immediately prior to such transaction beneficially own, directly or indirectly, more than 50% of the combined voting power of the outstanding Voting Securities of the entity resulting from such transaction;</w:t>
      </w:r>
    </w:p>
    <w:p>
      <w:pPr>
        <w:spacing w:after="0" w:line="179" w:lineRule="exact"/>
        <w:rPr>
          <w:rFonts w:ascii="Times New Roman" w:cs="Times New Roman" w:eastAsia="Times New Roman" w:hAnsi="Times New Roman"/>
          <w:sz w:val="18"/>
          <w:szCs w:val="18"/>
          <w:color w:val="auto"/>
        </w:rPr>
      </w:pPr>
    </w:p>
    <w:p>
      <w:pPr>
        <w:ind w:left="180" w:firstLine="652"/>
        <w:spacing w:after="0" w:line="258" w:lineRule="auto"/>
        <w:tabs>
          <w:tab w:leader="none" w:pos="150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not including any period prior to the execution of this Agreement, individuals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at least a majority of the Board; or</w:t>
      </w:r>
    </w:p>
    <w:p>
      <w:pPr>
        <w:spacing w:after="0" w:line="183" w:lineRule="exact"/>
        <w:rPr>
          <w:rFonts w:ascii="Times New Roman" w:cs="Times New Roman" w:eastAsia="Times New Roman" w:hAnsi="Times New Roman"/>
          <w:sz w:val="18"/>
          <w:szCs w:val="18"/>
          <w:color w:val="auto"/>
        </w:rPr>
      </w:pPr>
    </w:p>
    <w:p>
      <w:pPr>
        <w:ind w:left="180" w:right="760" w:firstLine="652"/>
        <w:spacing w:after="0" w:line="282" w:lineRule="auto"/>
        <w:tabs>
          <w:tab w:leader="none" w:pos="14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an agreement for the sale or disposition by the Company of all or substantially all of the Company’s assets.</w:t>
      </w:r>
    </w:p>
    <w:p>
      <w:pPr>
        <w:spacing w:after="0" w:line="15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“Claim” </w:t>
      </w:r>
      <w:r>
        <w:rPr>
          <w:rFonts w:ascii="Times New Roman" w:cs="Times New Roman" w:eastAsia="Times New Roman" w:hAnsi="Times New Roman"/>
          <w:sz w:val="18"/>
          <w:szCs w:val="18"/>
          <w:color w:val="auto"/>
        </w:rPr>
        <w:t>means:</w:t>
      </w:r>
    </w:p>
    <w:p>
      <w:pPr>
        <w:spacing w:after="0" w:line="229" w:lineRule="exact"/>
        <w:rPr>
          <w:rFonts w:ascii="Times New Roman" w:cs="Times New Roman" w:eastAsia="Times New Roman" w:hAnsi="Times New Roman"/>
          <w:sz w:val="18"/>
          <w:szCs w:val="18"/>
          <w:color w:val="auto"/>
        </w:rPr>
      </w:pPr>
    </w:p>
    <w:p>
      <w:pPr>
        <w:ind w:left="180" w:right="340" w:firstLine="652"/>
        <w:spacing w:after="0" w:line="282" w:lineRule="auto"/>
        <w:tabs>
          <w:tab w:leader="none" w:pos="144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threatened, pending or completed action, suit, proceeding or alternative dispute resolution mechanism, whether civil, criminal, administrative, arbitrative, investigative or other, and whether made pursuant to federal, state or other law; or</w:t>
      </w:r>
    </w:p>
    <w:p>
      <w:pPr>
        <w:spacing w:after="0" w:line="161" w:lineRule="exact"/>
        <w:rPr>
          <w:rFonts w:ascii="Times New Roman" w:cs="Times New Roman" w:eastAsia="Times New Roman" w:hAnsi="Times New Roman"/>
          <w:sz w:val="18"/>
          <w:szCs w:val="18"/>
          <w:color w:val="auto"/>
        </w:rPr>
      </w:pPr>
    </w:p>
    <w:p>
      <w:pPr>
        <w:ind w:left="180" w:right="280" w:firstLine="652"/>
        <w:spacing w:after="0" w:line="282" w:lineRule="auto"/>
        <w:tabs>
          <w:tab w:leader="none" w:pos="149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inquiry, hearing or investigation that the Indemnitee determines might lead to the institution of any such action, suit, proceeding or alternative dispute resolution mechanism.</w:t>
      </w:r>
    </w:p>
    <w:p>
      <w:pPr>
        <w:spacing w:after="0" w:line="15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“Connecticut Court” </w:t>
      </w:r>
      <w:r>
        <w:rPr>
          <w:rFonts w:ascii="Times New Roman" w:cs="Times New Roman" w:eastAsia="Times New Roman" w:hAnsi="Times New Roman"/>
          <w:sz w:val="18"/>
          <w:szCs w:val="18"/>
          <w:color w:val="auto"/>
        </w:rPr>
        <w:t>shall have the meaning ascribed to it in Section 9(e) below.</w:t>
      </w:r>
    </w:p>
    <w:p>
      <w:pPr>
        <w:spacing w:after="0" w:line="225" w:lineRule="exact"/>
        <w:rPr>
          <w:rFonts w:ascii="Times New Roman" w:cs="Times New Roman" w:eastAsia="Times New Roman" w:hAnsi="Times New Roman"/>
          <w:sz w:val="18"/>
          <w:szCs w:val="18"/>
          <w:color w:val="auto"/>
        </w:rPr>
      </w:pPr>
    </w:p>
    <w:p>
      <w:pPr>
        <w:ind w:left="-460" w:right="360" w:firstLine="644"/>
        <w:spacing w:after="0" w:line="286" w:lineRule="auto"/>
        <w:tabs>
          <w:tab w:leader="none" w:pos="83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“Disinterested Director” </w:t>
      </w:r>
      <w:r>
        <w:rPr>
          <w:rFonts w:ascii="Times New Roman" w:cs="Times New Roman" w:eastAsia="Times New Roman" w:hAnsi="Times New Roman"/>
          <w:sz w:val="18"/>
          <w:szCs w:val="18"/>
          <w:color w:val="auto"/>
        </w:rPr>
        <w:t>means a director of the Company who is not and was not a party to the Claim in respect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is sought by Indemnitee.</w:t>
      </w:r>
    </w:p>
    <w:p>
      <w:pPr>
        <w:spacing w:after="0" w:line="154" w:lineRule="exact"/>
        <w:rPr>
          <w:rFonts w:ascii="Times New Roman" w:cs="Times New Roman" w:eastAsia="Times New Roman" w:hAnsi="Times New Roman"/>
          <w:sz w:val="18"/>
          <w:szCs w:val="18"/>
          <w:color w:val="auto"/>
        </w:rPr>
      </w:pPr>
    </w:p>
    <w:p>
      <w:pPr>
        <w:ind w:left="-460" w:right="60" w:firstLine="644"/>
        <w:spacing w:after="0" w:line="254" w:lineRule="auto"/>
        <w:tabs>
          <w:tab w:leader="none" w:pos="8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means any and all expenses, including attorneys’ and experts’ fees, court costs, transcript costs, travel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supersedeas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 The parties agree that for the purposes of any advancement of Expenses for which Indemnitee has made written demand to the Company in accordance with this Agreement, all Expenses included in such demand that are certified by affidavit of Indemnitee’s counsel as being reasonable shall be presumed conclusively to be reasonable.</w:t>
      </w:r>
    </w:p>
    <w:p>
      <w:pPr>
        <w:spacing w:after="0" w:line="3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39" w:name="page40"/>
    <w:bookmarkEnd w:id="39"/>
    <w:p>
      <w:pPr>
        <w:ind w:left="1300" w:hanging="656"/>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 Advance” </w:t>
      </w:r>
      <w:r>
        <w:rPr>
          <w:rFonts w:ascii="Times New Roman" w:cs="Times New Roman" w:eastAsia="Times New Roman" w:hAnsi="Times New Roman"/>
          <w:sz w:val="18"/>
          <w:szCs w:val="18"/>
          <w:color w:val="auto"/>
        </w:rPr>
        <w:t>means any payment of Expenses advanced to Indemnitee by the Company pursuant to Section 4 or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hereof.</w:t>
      </w:r>
    </w:p>
    <w:p>
      <w:pPr>
        <w:spacing w:after="0" w:line="203" w:lineRule="exact"/>
        <w:rPr>
          <w:sz w:val="20"/>
          <w:szCs w:val="20"/>
          <w:color w:val="auto"/>
        </w:rPr>
      </w:pPr>
    </w:p>
    <w:p>
      <w:pPr>
        <w:ind w:right="20" w:firstLine="644"/>
        <w:spacing w:after="0" w:line="257" w:lineRule="auto"/>
        <w:tabs>
          <w:tab w:leader="none" w:pos="13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“Indemnifiable Event” </w:t>
      </w:r>
      <w:r>
        <w:rPr>
          <w:rFonts w:ascii="Times New Roman" w:cs="Times New Roman" w:eastAsia="Times New Roman" w:hAnsi="Times New Roman"/>
          <w:sz w:val="18"/>
          <w:szCs w:val="18"/>
          <w:color w:val="auto"/>
        </w:rPr>
        <w:t>means any event or occurrence, whether occurring before, on or after the date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to the fact that Indemnitee is or was a director, officer, employee or agent of the Company or any subsidiary of the Company, or is or was serving at the request of the Company as a director, officer, employee, member, manager, trustee or agent of any other corporation, limited liability company, partnership, joint venture, trust or other entity or enterprise (collectively with the Company, </w:t>
      </w:r>
      <w:r>
        <w:rPr>
          <w:rFonts w:ascii="Times New Roman" w:cs="Times New Roman" w:eastAsia="Times New Roman" w:hAnsi="Times New Roman"/>
          <w:sz w:val="18"/>
          <w:szCs w:val="18"/>
          <w:b w:val="1"/>
          <w:bCs w:val="1"/>
          <w:color w:val="auto"/>
        </w:rPr>
        <w:t>“Enterprise”</w:t>
      </w:r>
      <w:r>
        <w:rPr>
          <w:rFonts w:ascii="Times New Roman" w:cs="Times New Roman" w:eastAsia="Times New Roman" w:hAnsi="Times New Roman"/>
          <w:sz w:val="18"/>
          <w:szCs w:val="18"/>
          <w:color w:val="auto"/>
        </w:rPr>
        <w:t>) or by reason of an action or inaction by Indemnitee in any such capacity (whether or not serving in such capacity at the time any Loss is incurred for which indemnification can be provided under this Agreement).</w:t>
      </w:r>
    </w:p>
    <w:p>
      <w:pPr>
        <w:spacing w:after="0" w:line="182" w:lineRule="exact"/>
        <w:rPr>
          <w:rFonts w:ascii="Times New Roman" w:cs="Times New Roman" w:eastAsia="Times New Roman" w:hAnsi="Times New Roman"/>
          <w:sz w:val="18"/>
          <w:szCs w:val="18"/>
          <w:color w:val="auto"/>
        </w:rPr>
      </w:pPr>
    </w:p>
    <w:p>
      <w:pPr>
        <w:ind w:right="100" w:firstLine="644"/>
        <w:spacing w:after="0" w:line="257" w:lineRule="auto"/>
        <w:tabs>
          <w:tab w:leader="none" w:pos="1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Counsel” </w:t>
      </w:r>
      <w:r>
        <w:rPr>
          <w:rFonts w:ascii="Times New Roman" w:cs="Times New Roman" w:eastAsia="Times New Roman" w:hAnsi="Times New Roman"/>
          <w:sz w:val="18"/>
          <w:szCs w:val="18"/>
          <w:color w:val="auto"/>
        </w:rPr>
        <w:t>means a law firm, or a member of a law firm, that is experienced in matters of corporation law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presently performs, nor in the past five years has performed, services for either: (i) the Company or Indemnitee (other than in connection with matters concerning Indemnitee under this Agreement or of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2" w:lineRule="exact"/>
        <w:rPr>
          <w:rFonts w:ascii="Times New Roman" w:cs="Times New Roman" w:eastAsia="Times New Roman" w:hAnsi="Times New Roman"/>
          <w:sz w:val="18"/>
          <w:szCs w:val="18"/>
          <w:color w:val="auto"/>
        </w:rPr>
      </w:pPr>
    </w:p>
    <w:p>
      <w:pPr>
        <w:ind w:right="120" w:firstLine="644"/>
        <w:spacing w:after="0" w:line="259" w:lineRule="auto"/>
        <w:tabs>
          <w:tab w:leader="none" w:pos="1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“Losses” </w:t>
      </w:r>
      <w:r>
        <w:rPr>
          <w:rFonts w:ascii="Times New Roman" w:cs="Times New Roman" w:eastAsia="Times New Roman" w:hAnsi="Times New Roman"/>
          <w:sz w:val="18"/>
          <w:szCs w:val="18"/>
          <w:color w:val="auto"/>
        </w:rPr>
        <w:t>means any and all Expenses, damages, losses, liabilities, judgments, fines, penalties (whether civil, criminal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spacing w:after="0" w:line="179" w:lineRule="exact"/>
        <w:rPr>
          <w:rFonts w:ascii="Times New Roman" w:cs="Times New Roman" w:eastAsia="Times New Roman" w:hAnsi="Times New Roman"/>
          <w:sz w:val="18"/>
          <w:szCs w:val="18"/>
          <w:color w:val="auto"/>
        </w:rPr>
      </w:pPr>
    </w:p>
    <w:p>
      <w:pPr>
        <w:ind w:right="100" w:firstLine="644"/>
        <w:spacing w:after="0" w:line="317" w:lineRule="auto"/>
        <w:tabs>
          <w:tab w:leader="none" w:pos="130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“Person” </w:t>
      </w:r>
      <w:r>
        <w:rPr>
          <w:rFonts w:ascii="Times New Roman" w:cs="Times New Roman" w:eastAsia="Times New Roman" w:hAnsi="Times New Roman"/>
          <w:sz w:val="17"/>
          <w:szCs w:val="17"/>
          <w:color w:val="auto"/>
        </w:rPr>
        <w:t>means any individual, corporation, firm, partnership, joint venture, limited liability company, estate, trust,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association, organization, governmental entity or other entity and includes the meaning set forth in Sections 13(d) and 14(d) of the Exchange Act.</w:t>
      </w:r>
    </w:p>
    <w:p>
      <w:pPr>
        <w:spacing w:after="0" w:line="131" w:lineRule="exact"/>
        <w:rPr>
          <w:rFonts w:ascii="Times New Roman" w:cs="Times New Roman" w:eastAsia="Times New Roman" w:hAnsi="Times New Roman"/>
          <w:sz w:val="17"/>
          <w:szCs w:val="17"/>
          <w:color w:val="auto"/>
        </w:rPr>
      </w:pPr>
    </w:p>
    <w:p>
      <w:pPr>
        <w:ind w:left="1260" w:hanging="616"/>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“Standard of Conduct Determination” </w:t>
      </w:r>
      <w:r>
        <w:rPr>
          <w:rFonts w:ascii="Times New Roman" w:cs="Times New Roman" w:eastAsia="Times New Roman" w:hAnsi="Times New Roman"/>
          <w:sz w:val="18"/>
          <w:szCs w:val="18"/>
          <w:color w:val="auto"/>
        </w:rPr>
        <w:t>shall have the meaning ascribed to it in Section 9(b) below.</w:t>
      </w:r>
    </w:p>
    <w:p>
      <w:pPr>
        <w:spacing w:after="0" w:line="4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40" w:name="page41"/>
    <w:bookmarkEnd w:id="40"/>
    <w:p>
      <w:pPr>
        <w:ind w:left="2000" w:hanging="716"/>
        <w:spacing w:after="0"/>
        <w:tabs>
          <w:tab w:leader="none" w:pos="20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“Voting Securities” </w:t>
      </w:r>
      <w:r>
        <w:rPr>
          <w:rFonts w:ascii="Times New Roman" w:cs="Times New Roman" w:eastAsia="Times New Roman" w:hAnsi="Times New Roman"/>
          <w:sz w:val="18"/>
          <w:szCs w:val="18"/>
          <w:color w:val="auto"/>
        </w:rPr>
        <w:t>means any securities of the Company that vote generally in the election of directors.</w:t>
      </w:r>
    </w:p>
    <w:p>
      <w:pPr>
        <w:spacing w:after="0" w:line="229" w:lineRule="exact"/>
        <w:rPr>
          <w:rFonts w:ascii="Times New Roman" w:cs="Times New Roman" w:eastAsia="Times New Roman" w:hAnsi="Times New Roman"/>
          <w:sz w:val="18"/>
          <w:szCs w:val="18"/>
          <w:color w:val="auto"/>
        </w:rPr>
      </w:pPr>
    </w:p>
    <w:p>
      <w:pPr>
        <w:ind w:left="-20" w:right="20" w:firstLine="656"/>
        <w:spacing w:after="0" w:line="254" w:lineRule="auto"/>
        <w:tabs>
          <w:tab w:leader="none" w:pos="1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to the Company</w:t>
      </w:r>
      <w:r>
        <w:rPr>
          <w:rFonts w:ascii="Times New Roman" w:cs="Times New Roman" w:eastAsia="Times New Roman" w:hAnsi="Times New Roman"/>
          <w:sz w:val="18"/>
          <w:szCs w:val="18"/>
          <w:color w:val="auto"/>
        </w:rPr>
        <w:t>. Indemnitee agrees to [serve/continue to serve] as a director or officer of the Company for so long as Indemnitee is duly elected or appointed or until Indemnitee tenders [his/her] resignation or is no longer serving in such capacity. This Agreement shall not be deemed an employment agreement between the Company (or any of its subsidiaries or Enterprise) and Indemnitee. If an employee of the Company, Indemnitee specifically acknowledges that [his/her] employment with the Company or any of its subsidiaries or Enterprise is at will and the Indemnitee may be discharged at any time for any reason, with or without cause, except as may be otherwise provided in any written employment agreement between Indemnitee and the Company (or any of its subsidiaries or Enterprise), other applicable formal severance policies duly adopted by the Board or, with respect to service as a director or officer of the Company, by the Company’s Constituent Documents or Connecticut law. This Agreement shall continue in force after Indemnitee has ceased to serve as a director or officer of the Company or, at the request of the Company, of any of its subsidiaries or Enterprise, as provided in Section 12 hereof.</w:t>
      </w:r>
    </w:p>
    <w:p>
      <w:pPr>
        <w:spacing w:after="0" w:line="188" w:lineRule="exact"/>
        <w:rPr>
          <w:rFonts w:ascii="Times New Roman" w:cs="Times New Roman" w:eastAsia="Times New Roman" w:hAnsi="Times New Roman"/>
          <w:sz w:val="18"/>
          <w:szCs w:val="18"/>
          <w:color w:val="auto"/>
        </w:rPr>
      </w:pPr>
    </w:p>
    <w:p>
      <w:pPr>
        <w:ind w:left="-20" w:right="120" w:firstLine="656"/>
        <w:spacing w:after="0" w:line="258" w:lineRule="auto"/>
        <w:tabs>
          <w:tab w:leader="none" w:pos="1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Subject to Section 9 and Section 10 of this Agreement, the Company shall indemnify Indemnitee, to the fullest extent permitted by the laws of the State of Connecticut in effect on the date hereof,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spacing w:after="0" w:line="183" w:lineRule="exact"/>
        <w:rPr>
          <w:rFonts w:ascii="Times New Roman" w:cs="Times New Roman" w:eastAsia="Times New Roman" w:hAnsi="Times New Roman"/>
          <w:sz w:val="18"/>
          <w:szCs w:val="18"/>
          <w:color w:val="auto"/>
        </w:rPr>
      </w:pPr>
    </w:p>
    <w:p>
      <w:pPr>
        <w:ind w:left="-20" w:firstLine="656"/>
        <w:spacing w:after="0" w:line="253" w:lineRule="auto"/>
        <w:tabs>
          <w:tab w:leader="none" w:pos="12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thirty (30)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In connection with any request for Expense Advances, Indemnitee shall execute and deliver to the Company an undertaking (which shall be accepted without reference to Indemnitee’s ability to repay the Expense Advances), in form and substance substantially acceptable to the Company, to repay any amounts paid, advanced, or reimbursed by the Company for such Expenses to the extent that it is ultimately determined, following the final disposition of such Claim, that Indemnitee is not entitled to indemnification hereunder. Indemnitee’s obligation to reimburse the Company for Expense Advances shall be unsecured and no interest shall be charged thereon.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41" w:name="page42"/>
    <w:bookmarkEnd w:id="41"/>
    <w:p>
      <w:pPr>
        <w:ind w:firstLine="656"/>
        <w:spacing w:after="0" w:line="254" w:lineRule="auto"/>
        <w:tabs>
          <w:tab w:leader="none" w:pos="1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for Expenses in Enforcing Rights</w:t>
      </w:r>
      <w:r>
        <w:rPr>
          <w:rFonts w:ascii="Times New Roman" w:cs="Times New Roman" w:eastAsia="Times New Roman" w:hAnsi="Times New Roman"/>
          <w:sz w:val="18"/>
          <w:szCs w:val="18"/>
          <w:color w:val="auto"/>
        </w:rPr>
        <w:t>. To the fullest extent allowable under applicable law, the Company shall also indemnify against, and, if requested by Indemnitee, shall advance to Indemnitee subject to and in accordance with Section 4, any Expenses actually and reasonably paid or incurred by Indemnitee in connection with any action or proceeding by Indemnitee for (a) indemnification or reimbursement or advance payment of Expenses by the 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regardless of whether Indemnitee ultimately is determined to be entitled to such indemnification or insurance recovery, as the case may be. However, in the event Indemnitee is ultimately determined not to be entitled to such indemnification or insurance recovery, as the case may be, then all amounts advanced under this Section 5 shall be repaid to the Company. Indemnitee shall be required to reimburse the Company in the event that a final judicial determination is made that such action brought by Indemnitee was frivolous or not made in good faith.</w:t>
      </w:r>
    </w:p>
    <w:p>
      <w:pPr>
        <w:spacing w:after="0" w:line="188" w:lineRule="exact"/>
        <w:rPr>
          <w:rFonts w:ascii="Times New Roman" w:cs="Times New Roman" w:eastAsia="Times New Roman" w:hAnsi="Times New Roman"/>
          <w:sz w:val="18"/>
          <w:szCs w:val="18"/>
          <w:color w:val="auto"/>
        </w:rPr>
      </w:pPr>
    </w:p>
    <w:p>
      <w:pPr>
        <w:ind w:right="20" w:firstLine="656"/>
        <w:spacing w:after="0" w:line="266" w:lineRule="auto"/>
        <w:tabs>
          <w:tab w:leader="none" w:pos="12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Indemnity</w:t>
      </w:r>
      <w:r>
        <w:rPr>
          <w:rFonts w:ascii="Times New Roman" w:cs="Times New Roman" w:eastAsia="Times New Roman" w:hAnsi="Times New Roman"/>
          <w:sz w:val="18"/>
          <w:szCs w:val="18"/>
          <w:color w:val="auto"/>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and Defense of Claims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60" w:firstLine="644"/>
        <w:spacing w:after="0" w:line="253" w:lineRule="auto"/>
        <w:tabs>
          <w:tab w:leader="none" w:pos="19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Claims</w:t>
      </w:r>
      <w:r>
        <w:rPr>
          <w:rFonts w:ascii="Times New Roman" w:cs="Times New Roman" w:eastAsia="Times New Roman" w:hAnsi="Times New Roman"/>
          <w:sz w:val="18"/>
          <w:szCs w:val="18"/>
          <w:color w:val="auto"/>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except the Company shall not be liable to indemnify Indemnitee under this Agreement with respect to any judicial award in a Claim related to an Indemnifiable Event if the Company was not given a reasonable and timely opportunity to participate at its expense in the defense of such action. If at the time of the receipt of such notice, the Company has directors’ and officers’ liability insurance in effect under which coverage for Claims related to Indemnifiable Events is potentially available, the Company shall give prompt written notice to the applicable insurers in accordance with the procedures set forth in the applicable policies. The Company shall provide to Indemnitee a copy of such notice delivered to the applicable insurers, and copies of all subsequent correspondence between the Company and such insurers regarding the Claim, in each case substantially concurrently with the delivery or receipt thereof by the Company.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660" w:firstLine="644"/>
        <w:spacing w:after="0" w:line="253" w:lineRule="auto"/>
        <w:tabs>
          <w:tab w:leader="none" w:pos="19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of Claims</w:t>
      </w:r>
      <w:r>
        <w:rPr>
          <w:rFonts w:ascii="Times New Roman" w:cs="Times New Roman" w:eastAsia="Times New Roman" w:hAnsi="Times New Roman"/>
          <w:sz w:val="18"/>
          <w:szCs w:val="18"/>
          <w:color w:val="auto"/>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 has notified the Company it has reasonably determined there may be a conflict of interest between Indemnitee and the Company in the defense of such Claim, (iii) after a Change in Control, 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spacing w:after="0" w:line="189" w:lineRule="exact"/>
        <w:rPr>
          <w:rFonts w:ascii="Times New Roman" w:cs="Times New Roman" w:eastAsia="Times New Roman" w:hAnsi="Times New Roman"/>
          <w:sz w:val="18"/>
          <w:szCs w:val="18"/>
          <w:color w:val="auto"/>
        </w:rPr>
      </w:pPr>
    </w:p>
    <w:p>
      <w:pPr>
        <w:ind w:right="140" w:firstLine="656"/>
        <w:spacing w:after="0" w:line="256" w:lineRule="auto"/>
        <w:tabs>
          <w:tab w:leader="none" w:pos="12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upon Application for Indemnification</w:t>
      </w:r>
      <w:r>
        <w:rPr>
          <w:rFonts w:ascii="Times New Roman" w:cs="Times New Roman" w:eastAsia="Times New Roman" w:hAnsi="Times New Roman"/>
          <w:sz w:val="18"/>
          <w:szCs w:val="18"/>
          <w:color w:val="auto"/>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provided that documentation and information need not be so provided to the extent that the provision thereof would undermine or otherwise jeopardize attorney-client privilege. Indemnification shall be made insofar as the Company determines Indemnitee is entitled to indemnification in accordance with Section 9 below.</w:t>
      </w:r>
    </w:p>
    <w:p>
      <w:pPr>
        <w:spacing w:after="0" w:line="187"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Right to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Indemnification; Indemnification as a Witness.</w:t>
      </w:r>
    </w:p>
    <w:p>
      <w:pPr>
        <w:spacing w:after="0" w:line="225" w:lineRule="exact"/>
        <w:rPr>
          <w:rFonts w:ascii="Times New Roman" w:cs="Times New Roman" w:eastAsia="Times New Roman" w:hAnsi="Times New Roman"/>
          <w:sz w:val="18"/>
          <w:szCs w:val="18"/>
          <w:color w:val="auto"/>
        </w:rPr>
      </w:pPr>
    </w:p>
    <w:p>
      <w:pPr>
        <w:jc w:val="both"/>
        <w:ind w:left="1300" w:right="260" w:firstLine="652"/>
        <w:spacing w:after="0" w:line="261" w:lineRule="auto"/>
        <w:tabs>
          <w:tab w:leader="none" w:pos="256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Indemnitee shall have been successful on the merits or otherwise in defense of any Claim relating to an Indemnifiable Event or any portion thereof or in defense of any issue or matter therein, including without limitation dismissal without prejudice, Indemnitee shall be indemnified against all Losses relating to such Claim in accordance with Section 3 to the fullest extent allowable by law, and no Standard of Conduct Determination (as defined in Section 9(b)) shall be required.</w:t>
      </w:r>
    </w:p>
    <w:p>
      <w:pPr>
        <w:spacing w:after="0" w:line="179" w:lineRule="exact"/>
        <w:rPr>
          <w:rFonts w:ascii="Times New Roman" w:cs="Times New Roman" w:eastAsia="Times New Roman" w:hAnsi="Times New Roman"/>
          <w:sz w:val="18"/>
          <w:szCs w:val="18"/>
          <w:color w:val="auto"/>
        </w:rPr>
      </w:pPr>
    </w:p>
    <w:p>
      <w:pPr>
        <w:ind w:left="1300" w:right="180" w:firstLine="652"/>
        <w:spacing w:after="0" w:line="266" w:lineRule="auto"/>
        <w:tabs>
          <w:tab w:leader="none" w:pos="2618"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Indemnitee’s involvement in a Claim relating to an Indemnifiable Event is to prepare to serve and serve as a witness, and not as a party, the Indemnitee shall be indemnified against all Losses incurred in connection therewith to the fullest extent allowable by law and no Standard of Conduct Determination (as defined in Section 9(b)) shall be required.</w:t>
      </w:r>
    </w:p>
    <w:p>
      <w:pPr>
        <w:spacing w:after="0" w:line="175" w:lineRule="exact"/>
        <w:rPr>
          <w:rFonts w:ascii="Times New Roman" w:cs="Times New Roman" w:eastAsia="Times New Roman" w:hAnsi="Times New Roman"/>
          <w:sz w:val="18"/>
          <w:szCs w:val="18"/>
          <w:color w:val="auto"/>
        </w:rPr>
      </w:pPr>
    </w:p>
    <w:p>
      <w:pPr>
        <w:jc w:val="both"/>
        <w:ind w:left="660" w:right="300" w:firstLine="644"/>
        <w:spacing w:after="0" w:line="281" w:lineRule="auto"/>
        <w:tabs>
          <w:tab w:leader="none" w:pos="196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Standard of Conduct</w:t>
      </w:r>
      <w:r>
        <w:rPr>
          <w:rFonts w:ascii="Times New Roman" w:cs="Times New Roman" w:eastAsia="Times New Roman" w:hAnsi="Times New Roman"/>
          <w:sz w:val="17"/>
          <w:szCs w:val="17"/>
          <w:color w:val="auto"/>
        </w:rPr>
        <w:t xml:space="preserve">. To the extent that the provisions of Section 9(a) are inapplicable to a Claim related to an Indemnifiable Event that shall have been finally disposed of, any determination of whether Indemnitee has satisfied any applicable standard of conduct under Connecticut law that is a legally required condition to indemnification of Indemnitee hereunder against Losses relating to such Claim and any determination that Expense Advances must be repaid to the Company (a </w:t>
      </w:r>
      <w:r>
        <w:rPr>
          <w:rFonts w:ascii="Times New Roman" w:cs="Times New Roman" w:eastAsia="Times New Roman" w:hAnsi="Times New Roman"/>
          <w:sz w:val="17"/>
          <w:szCs w:val="17"/>
          <w:b w:val="1"/>
          <w:bCs w:val="1"/>
          <w:color w:val="auto"/>
        </w:rPr>
        <w:t>“Standard of Conduct Determination”</w:t>
      </w:r>
      <w:r>
        <w:rPr>
          <w:rFonts w:ascii="Times New Roman" w:cs="Times New Roman" w:eastAsia="Times New Roman" w:hAnsi="Times New Roman"/>
          <w:sz w:val="17"/>
          <w:szCs w:val="17"/>
          <w:color w:val="auto"/>
        </w:rPr>
        <w:t>) shall be made as follows: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180" w:firstLine="652"/>
        <w:spacing w:after="0" w:line="261" w:lineRule="auto"/>
        <w:tabs>
          <w:tab w:leader="none" w:pos="14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spacing w:after="0" w:line="179" w:lineRule="exact"/>
        <w:rPr>
          <w:rFonts w:ascii="Times New Roman" w:cs="Times New Roman" w:eastAsia="Times New Roman" w:hAnsi="Times New Roman"/>
          <w:sz w:val="18"/>
          <w:szCs w:val="18"/>
          <w:color w:val="auto"/>
        </w:rPr>
      </w:pPr>
    </w:p>
    <w:p>
      <w:pPr>
        <w:ind w:left="180" w:right="40" w:firstLine="652"/>
        <w:spacing w:after="0" w:line="266" w:lineRule="auto"/>
        <w:tabs>
          <w:tab w:leader="none" w:pos="14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76" w:lineRule="exact"/>
        <w:rPr>
          <w:sz w:val="20"/>
          <w:szCs w:val="20"/>
          <w:color w:val="auto"/>
        </w:rPr>
      </w:pPr>
    </w:p>
    <w:p>
      <w:pPr>
        <w:ind w:left="180" w:right="160" w:firstLine="1296"/>
        <w:spacing w:after="0" w:line="266" w:lineRule="auto"/>
        <w:rPr>
          <w:sz w:val="20"/>
          <w:szCs w:val="20"/>
          <w:color w:val="auto"/>
        </w:rPr>
      </w:pPr>
      <w:r>
        <w:rPr>
          <w:rFonts w:ascii="Times New Roman" w:cs="Times New Roman" w:eastAsia="Times New Roman" w:hAnsi="Times New Roman"/>
          <w:sz w:val="18"/>
          <w:szCs w:val="18"/>
          <w:color w:val="auto"/>
        </w:rPr>
        <w:t>The Company shall indemnify and hold harmless Indemnitee against and, if requested by Indemnitee, shall reimburse Indemnitee for, or advance to Indemnitee, within thirty (30) days of such request, any and all Expenses incurred by Indemnitee in cooperating with the person or persons making such Standard of Conduct Determination.</w:t>
      </w:r>
    </w:p>
    <w:p>
      <w:pPr>
        <w:spacing w:after="0" w:line="176" w:lineRule="exact"/>
        <w:rPr>
          <w:sz w:val="20"/>
          <w:szCs w:val="20"/>
          <w:color w:val="auto"/>
        </w:rPr>
      </w:pPr>
    </w:p>
    <w:p>
      <w:pPr>
        <w:ind w:left="-460" w:firstLine="644"/>
        <w:spacing w:after="0" w:line="254" w:lineRule="auto"/>
        <w:tabs>
          <w:tab w:leader="none" w:pos="8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Making the Standard of Conduct Determination</w:t>
      </w:r>
      <w:r>
        <w:rPr>
          <w:rFonts w:ascii="Times New Roman" w:cs="Times New Roman" w:eastAsia="Times New Roman" w:hAnsi="Times New Roman"/>
          <w:sz w:val="18"/>
          <w:szCs w:val="18"/>
          <w:color w:val="auto"/>
        </w:rPr>
        <w:t xml:space="preserve">. The Company shall use its reasonable best efforts to cause any Standard of Conduct Determination required under Section 9(b) to be made as promptly as practicable. If the person or persons designated to make the Standard of Conduct Determination under Section 9(b) shall not have made a determination within 30 days after the later of (A) receipt by the Company of a written request from Indemnitee for indemnification pursuant to Section 8 (the date of such receipt being the </w:t>
      </w:r>
      <w:r>
        <w:rPr>
          <w:rFonts w:ascii="Times New Roman" w:cs="Times New Roman" w:eastAsia="Times New Roman" w:hAnsi="Times New Roman"/>
          <w:sz w:val="18"/>
          <w:szCs w:val="18"/>
          <w:b w:val="1"/>
          <w:bCs w:val="1"/>
          <w:color w:val="auto"/>
        </w:rPr>
        <w:t>“Notification Date”</w:t>
      </w:r>
      <w:r>
        <w:rPr>
          <w:rFonts w:ascii="Times New Roman" w:cs="Times New Roman" w:eastAsia="Times New Roman" w:hAnsi="Times New Roman"/>
          <w:sz w:val="18"/>
          <w:szCs w:val="18"/>
          <w:color w:val="auto"/>
        </w:rPr>
        <w:t>) and (B) the selection of an Independent Counsel, if such determination is to be made by Independent Counsel, then Indemnitee shall be deemed to have satisfied the applicable standard of conduct; provided that such 30-day period may be extended for a reasonable time, not to exceed an additional 30 days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spacing w:after="0" w:line="188"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Indemnification</w:t>
      </w:r>
      <w:r>
        <w:rPr>
          <w:rFonts w:ascii="Times New Roman" w:cs="Times New Roman" w:eastAsia="Times New Roman" w:hAnsi="Times New Roman"/>
          <w:sz w:val="18"/>
          <w:szCs w:val="18"/>
          <w:color w:val="auto"/>
        </w:rPr>
        <w:t>. If, in regard to any Losses:</w:t>
      </w:r>
    </w:p>
    <w:p>
      <w:pPr>
        <w:spacing w:after="0" w:line="225" w:lineRule="exact"/>
        <w:rPr>
          <w:rFonts w:ascii="Times New Roman" w:cs="Times New Roman" w:eastAsia="Times New Roman" w:hAnsi="Times New Roman"/>
          <w:sz w:val="18"/>
          <w:szCs w:val="18"/>
          <w:color w:val="auto"/>
        </w:rPr>
      </w:pPr>
    </w:p>
    <w:p>
      <w:pPr>
        <w:ind w:left="1460" w:hanging="628"/>
        <w:spacing w:after="0"/>
        <w:tabs>
          <w:tab w:leader="none" w:pos="14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entitled to indemnification pursuant to Section 9(a);</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Standard Conduct Determination is legally required as a condition to indemnification of Indemnitee hereunder; or</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44" w:name="page45"/>
    <w:bookmarkEnd w:id="44"/>
    <w:p>
      <w:pPr>
        <w:ind w:left="180" w:right="180" w:firstLine="652"/>
        <w:spacing w:after="0" w:line="282" w:lineRule="auto"/>
        <w:tabs>
          <w:tab w:leader="none" w:pos="15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has been determined or deemed pursuant to Section 9(b) or Section 9(c) to have satisfied the Standard of Conduct Determination,</w:t>
      </w:r>
    </w:p>
    <w:p>
      <w:pPr>
        <w:spacing w:after="0" w:line="162" w:lineRule="exact"/>
        <w:rPr>
          <w:sz w:val="20"/>
          <w:szCs w:val="20"/>
          <w:color w:val="auto"/>
        </w:rPr>
      </w:pPr>
    </w:p>
    <w:p>
      <w:pPr>
        <w:ind w:left="180" w:firstLine="1296"/>
        <w:spacing w:after="0" w:line="282" w:lineRule="auto"/>
        <w:rPr>
          <w:sz w:val="20"/>
          <w:szCs w:val="20"/>
          <w:color w:val="auto"/>
        </w:rPr>
      </w:pPr>
      <w:r>
        <w:rPr>
          <w:rFonts w:ascii="Times New Roman" w:cs="Times New Roman" w:eastAsia="Times New Roman" w:hAnsi="Times New Roman"/>
          <w:sz w:val="18"/>
          <w:szCs w:val="18"/>
          <w:color w:val="auto"/>
        </w:rPr>
        <w:t>then the Company shall pay to Indemnitee, within fifteen (15) days after the later of (A) the Notification Date or (B) the earliest date on which the applicable criterion specified in clause (i), (ii) or (iii) is satisfied, an amount equal to such Losses.</w:t>
      </w:r>
    </w:p>
    <w:p>
      <w:pPr>
        <w:spacing w:after="0" w:line="162" w:lineRule="exact"/>
        <w:rPr>
          <w:sz w:val="20"/>
          <w:szCs w:val="20"/>
          <w:color w:val="auto"/>
        </w:rPr>
      </w:pPr>
    </w:p>
    <w:p>
      <w:pPr>
        <w:ind w:left="-460" w:right="20" w:firstLine="644"/>
        <w:spacing w:after="0" w:line="251" w:lineRule="auto"/>
        <w:tabs>
          <w:tab w:leader="none" w:pos="8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Independent Counsel for Standard of Conduct Determination</w:t>
      </w:r>
      <w:r>
        <w:rPr>
          <w:rFonts w:ascii="Times New Roman" w:cs="Times New Roman" w:eastAsia="Times New Roman" w:hAnsi="Times New Roman"/>
          <w:sz w:val="18"/>
          <w:szCs w:val="18"/>
          <w:color w:val="auto"/>
        </w:rPr>
        <w:t>. If a Standard of Conduct Determination is to be made by Independent Counsel pursuant to Section 9(b)(i), the Independent Counsel shall be selected by the Disinterested Directors, and the Company shall give written notice to Indemnitee advising him/her of the identity of the Independent Counsel so selected. If a Standard of Conduct Determination is to be made by Independent Counsel pursuant to Section 9(b)(ii), the Independent Counsel shall be selected by Indemnitee, and Indemnitee shall give written notice to the Company advising it of the identity of the Independent Counsel so selected. In either case, Indemnitee or the Company, as applicable, may, within five (5) business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1(i),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9(e) to make the Standard of Conduct Determination shall have been selected within 20 days after the Company gives its initial notice pursuant to the first sentence of this Section 9(e) or Indemnitee gives its initial notice pursuant to the second sentence of this Section 9(e), as the case may be, either the Company or Indemnitee may petition the Superior Court of the State of Connecticut, Judicial District of Danbury (“</w:t>
      </w:r>
      <w:r>
        <w:rPr>
          <w:rFonts w:ascii="Times New Roman" w:cs="Times New Roman" w:eastAsia="Times New Roman" w:hAnsi="Times New Roman"/>
          <w:sz w:val="18"/>
          <w:szCs w:val="18"/>
          <w:b w:val="1"/>
          <w:bCs w:val="1"/>
          <w:color w:val="auto"/>
        </w:rPr>
        <w:t>Danbury Superior Court”</w:t>
      </w:r>
      <w:r>
        <w:rPr>
          <w:rFonts w:ascii="Times New Roman" w:cs="Times New Roman" w:eastAsia="Times New Roman" w:hAnsi="Times New Roman"/>
          <w:sz w:val="18"/>
          <w:szCs w:val="18"/>
          <w:color w:val="auto"/>
        </w:rPr>
        <w:t>) to resolve any objection which shall have been made by the Company or Indemnitee to the other’s selection of Independent Counsel and/or to appoint as Independent Counsel a person to be selected by the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9(b).</w:t>
      </w:r>
    </w:p>
    <w:p>
      <w:pPr>
        <w:spacing w:after="0" w:line="3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5" w:name="page46"/>
    <w:bookmarkEnd w:id="45"/>
    <w:p>
      <w:pPr>
        <w:ind w:left="820" w:hanging="636"/>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Presumptions and Defenses.</w:t>
      </w:r>
    </w:p>
    <w:p>
      <w:pPr>
        <w:spacing w:after="0" w:line="225" w:lineRule="exact"/>
        <w:rPr>
          <w:rFonts w:ascii="Times New Roman" w:cs="Times New Roman" w:eastAsia="Times New Roman" w:hAnsi="Times New Roman"/>
          <w:sz w:val="18"/>
          <w:szCs w:val="18"/>
          <w:color w:val="auto"/>
        </w:rPr>
      </w:pPr>
    </w:p>
    <w:p>
      <w:pPr>
        <w:ind w:left="180" w:right="40" w:firstLine="652"/>
        <w:spacing w:after="0" w:line="254" w:lineRule="auto"/>
        <w:tabs>
          <w:tab w:leader="none" w:pos="14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Indemnitee’s Entitlement to Indemnification</w:t>
      </w:r>
      <w:r>
        <w:rPr>
          <w:rFonts w:ascii="Times New Roman" w:cs="Times New Roman" w:eastAsia="Times New Roman" w:hAnsi="Times New Roman"/>
          <w:sz w:val="18"/>
          <w:szCs w:val="18"/>
          <w:color w:val="auto"/>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Danbury Superior Court. No determination by the Company (including by its directors or any Independent Counsel) that Indemnitee has not satisfied any applicable standard of conduct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191" w:lineRule="exact"/>
        <w:rPr>
          <w:rFonts w:ascii="Times New Roman" w:cs="Times New Roman" w:eastAsia="Times New Roman" w:hAnsi="Times New Roman"/>
          <w:sz w:val="18"/>
          <w:szCs w:val="18"/>
          <w:color w:val="auto"/>
        </w:rPr>
      </w:pPr>
    </w:p>
    <w:p>
      <w:pPr>
        <w:ind w:left="180" w:firstLine="652"/>
        <w:spacing w:after="0" w:line="254" w:lineRule="auto"/>
        <w:tabs>
          <w:tab w:leader="none" w:pos="149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as a Safe Harbor</w:t>
      </w:r>
      <w:r>
        <w:rPr>
          <w:rFonts w:ascii="Times New Roman" w:cs="Times New Roman" w:eastAsia="Times New Roman" w:hAnsi="Times New Roman"/>
          <w:sz w:val="18"/>
          <w:szCs w:val="18"/>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88" w:lineRule="exact"/>
        <w:rPr>
          <w:rFonts w:ascii="Times New Roman" w:cs="Times New Roman" w:eastAsia="Times New Roman" w:hAnsi="Times New Roman"/>
          <w:sz w:val="18"/>
          <w:szCs w:val="18"/>
          <w:color w:val="auto"/>
        </w:rPr>
      </w:pPr>
    </w:p>
    <w:p>
      <w:pPr>
        <w:jc w:val="both"/>
        <w:ind w:left="180" w:right="40" w:firstLine="652"/>
        <w:spacing w:after="0" w:line="261" w:lineRule="auto"/>
        <w:tabs>
          <w:tab w:leader="none" w:pos="15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Other Presumptions</w:t>
      </w:r>
      <w:r>
        <w:rPr>
          <w:rFonts w:ascii="Times New Roman" w:cs="Times New Roman" w:eastAsia="Times New Roman" w:hAnsi="Times New Roman"/>
          <w:sz w:val="18"/>
          <w:szCs w:val="18"/>
          <w:color w:val="auto"/>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spacing w:after="0" w:line="179" w:lineRule="exact"/>
        <w:rPr>
          <w:rFonts w:ascii="Times New Roman" w:cs="Times New Roman" w:eastAsia="Times New Roman" w:hAnsi="Times New Roman"/>
          <w:sz w:val="18"/>
          <w:szCs w:val="18"/>
          <w:color w:val="auto"/>
        </w:rPr>
      </w:pPr>
    </w:p>
    <w:p>
      <w:pPr>
        <w:ind w:left="180" w:firstLine="652"/>
        <w:spacing w:after="0" w:line="258" w:lineRule="auto"/>
        <w:tabs>
          <w:tab w:leader="none" w:pos="15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Defense to Indemnification and Burden of Proof</w:t>
      </w:r>
      <w:r>
        <w:rPr>
          <w:rFonts w:ascii="Times New Roman" w:cs="Times New Roman" w:eastAsia="Times New Roman" w:hAnsi="Times New Roman"/>
          <w:sz w:val="18"/>
          <w:szCs w:val="18"/>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 action or any related Standard of Conduct Determination, the burden of proving such a defense or that the Indemnitee did not satisfy the applicable standard of conduct shall be on the Company.</w:t>
      </w:r>
    </w:p>
    <w:p>
      <w:pPr>
        <w:spacing w:after="0" w:line="3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46" w:name="page47"/>
    <w:bookmarkEnd w:id="46"/>
    <w:p>
      <w:pPr>
        <w:ind w:left="644" w:right="20" w:firstLine="652"/>
        <w:spacing w:after="0" w:line="256" w:lineRule="auto"/>
        <w:tabs>
          <w:tab w:leader="none" w:pos="1951"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of Claims</w:t>
      </w:r>
      <w:r>
        <w:rPr>
          <w:rFonts w:ascii="Times New Roman" w:cs="Times New Roman" w:eastAsia="Times New Roman" w:hAnsi="Times New Roman"/>
          <w:sz w:val="18"/>
          <w:szCs w:val="18"/>
          <w:color w:val="auto"/>
        </w:rPr>
        <w:t>. The Company acknowledges that a settlement or other disposition short of final judgment may be successful on the merits or otherwise for purposes of Section 9(a)(i)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our without payment of money or other consideration), it shall be presumed that Indemnitee has been successful on the merits or otherwise for purposes of Section 9(a)(i). The Company shall have the burden of proof to overcome this presumption.</w:t>
      </w:r>
    </w:p>
    <w:p>
      <w:pPr>
        <w:spacing w:after="0" w:line="187" w:lineRule="exact"/>
        <w:rPr>
          <w:rFonts w:ascii="Times New Roman" w:cs="Times New Roman" w:eastAsia="Times New Roman" w:hAnsi="Times New Roman"/>
          <w:sz w:val="18"/>
          <w:szCs w:val="18"/>
          <w:color w:val="auto"/>
        </w:rPr>
      </w:pPr>
    </w:p>
    <w:p>
      <w:pPr>
        <w:ind w:left="684" w:hanging="684"/>
        <w:spacing w:after="0"/>
        <w:tabs>
          <w:tab w:leader="none" w:pos="6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Exclusions from Indemnification</w:t>
      </w:r>
      <w:r>
        <w:rPr>
          <w:rFonts w:ascii="Times New Roman" w:cs="Times New Roman" w:eastAsia="Times New Roman" w:hAnsi="Times New Roman"/>
          <w:sz w:val="18"/>
          <w:szCs w:val="18"/>
          <w:color w:val="auto"/>
        </w:rPr>
        <w:t>. Notwithstanding anything in this Agreement to the contrary, the Company shall not be obligated to:</w:t>
      </w:r>
    </w:p>
    <w:p>
      <w:pPr>
        <w:spacing w:after="0" w:line="22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130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or advance funds to Indemnitee for Expenses or Losses with respect to proceedings initiated by Indemnitee, including any proceedings against the Company or its directors, officers, employees or other indemnitees and not by way of defense, except:</w:t>
      </w:r>
    </w:p>
    <w:p>
      <w:pPr>
        <w:spacing w:after="0" w:line="161" w:lineRule="exact"/>
        <w:rPr>
          <w:rFonts w:ascii="Times New Roman" w:cs="Times New Roman" w:eastAsia="Times New Roman" w:hAnsi="Times New Roman"/>
          <w:sz w:val="18"/>
          <w:szCs w:val="18"/>
          <w:color w:val="auto"/>
        </w:rPr>
      </w:pPr>
    </w:p>
    <w:p>
      <w:pPr>
        <w:ind w:left="644" w:firstLine="652"/>
        <w:spacing w:after="0" w:line="282" w:lineRule="auto"/>
        <w:tabs>
          <w:tab w:leader="none" w:pos="195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referenced in Section 5 above (unless a court of competent jurisdiction determines that each of the material assertions made by Indemnitee in such proceeding was not made in good faith or was frivolous); or</w:t>
      </w:r>
    </w:p>
    <w:p>
      <w:pPr>
        <w:spacing w:after="0" w:line="162" w:lineRule="exact"/>
        <w:rPr>
          <w:sz w:val="20"/>
          <w:szCs w:val="20"/>
          <w:color w:val="auto"/>
        </w:rPr>
      </w:pPr>
    </w:p>
    <w:p>
      <w:pPr>
        <w:ind w:left="1964" w:hanging="668"/>
        <w:spacing w:after="0"/>
        <w:tabs>
          <w:tab w:leader="none" w:pos="1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has joined in or the Board has consented to the initiation of such proceedings.</w:t>
      </w:r>
    </w:p>
    <w:p>
      <w:pPr>
        <w:spacing w:after="0" w:line="22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Indemnitee if a final decision by a court of competent jurisdiction determines that such indemnification is prohibited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applicable law.</w:t>
      </w:r>
    </w:p>
    <w:p>
      <w:pPr>
        <w:spacing w:after="0" w:line="206" w:lineRule="exact"/>
        <w:rPr>
          <w:rFonts w:ascii="Times New Roman" w:cs="Times New Roman" w:eastAsia="Times New Roman" w:hAnsi="Times New Roman"/>
          <w:sz w:val="18"/>
          <w:szCs w:val="18"/>
          <w:color w:val="auto"/>
        </w:rPr>
      </w:pPr>
    </w:p>
    <w:p>
      <w:pPr>
        <w:ind w:left="4" w:right="580" w:firstLine="644"/>
        <w:spacing w:after="0" w:line="282" w:lineRule="auto"/>
        <w:tabs>
          <w:tab w:leader="none" w:pos="13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Indemnitee for the disgorgement of profits arising from the purchase or sale by Indemnitee of securities of the Company in violation of Section 16(b) of the Exchange Act, or any similar successor statute.</w:t>
      </w:r>
    </w:p>
    <w:p>
      <w:pPr>
        <w:spacing w:after="0" w:line="161" w:lineRule="exact"/>
        <w:rPr>
          <w:rFonts w:ascii="Times New Roman" w:cs="Times New Roman" w:eastAsia="Times New Roman" w:hAnsi="Times New Roman"/>
          <w:sz w:val="18"/>
          <w:szCs w:val="18"/>
          <w:color w:val="auto"/>
        </w:rPr>
      </w:pPr>
    </w:p>
    <w:p>
      <w:pPr>
        <w:ind w:left="4" w:right="80" w:firstLine="644"/>
        <w:spacing w:after="0" w:line="255" w:lineRule="auto"/>
        <w:tabs>
          <w:tab w:leader="none" w:pos="13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under any clawback policy adopted by the Company, including the Company’s Compensation Recovery Policy to comply with Rule 10D-1 under the Exchange Act and applicable stock exchange listing requirements, or the payment to the Company of profits arising from the purchase or sale by Indemnitee of securities in violation of Section 306 of the Sarbanes-Oxley Act).</w:t>
      </w:r>
    </w:p>
    <w:p>
      <w:pPr>
        <w:spacing w:after="0" w:line="360"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7" w:name="page48"/>
    <w:bookmarkEnd w:id="47"/>
    <w:p>
      <w:pPr>
        <w:ind w:left="-20" w:right="80" w:firstLine="656"/>
        <w:spacing w:after="0" w:line="258" w:lineRule="auto"/>
        <w:tabs>
          <w:tab w:leader="none" w:pos="12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Claims</w:t>
      </w:r>
      <w:r>
        <w:rPr>
          <w:rFonts w:ascii="Times New Roman" w:cs="Times New Roman" w:eastAsia="Times New Roman" w:hAnsi="Times New Roman"/>
          <w:sz w:val="18"/>
          <w:szCs w:val="18"/>
          <w:color w:val="auto"/>
        </w:rPr>
        <w:t>. The Company shall not be liable to Indemnitee under this Agreement for any amounts paid in settlement of any threatened or pending Claim related to an Indemnifiable Event effected without the Company’s prior written consent, which shall not be unreasonably withheld; provided, however, that if a Change in Control has occurred, the Company shall be liable for indemnification of the Indemnitee for amounts paid in settlement if an Independent Counsel has approved the settlement. The Company shall not settle any Claim related to an Indemnifiable Event in any manner that would impose any Losses on the Indemnitee without the Indemnitee’s prior written consent.</w:t>
      </w:r>
    </w:p>
    <w:p>
      <w:pPr>
        <w:spacing w:after="0" w:line="183" w:lineRule="exact"/>
        <w:rPr>
          <w:rFonts w:ascii="Times New Roman" w:cs="Times New Roman" w:eastAsia="Times New Roman" w:hAnsi="Times New Roman"/>
          <w:sz w:val="18"/>
          <w:szCs w:val="18"/>
          <w:color w:val="auto"/>
        </w:rPr>
      </w:pPr>
    </w:p>
    <w:p>
      <w:pPr>
        <w:ind w:left="-20" w:firstLine="656"/>
        <w:spacing w:after="0" w:line="258"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w:t>
      </w:r>
      <w:r>
        <w:rPr>
          <w:rFonts w:ascii="Times New Roman" w:cs="Times New Roman" w:eastAsia="Times New Roman" w:hAnsi="Times New Roman"/>
          <w:sz w:val="18"/>
          <w:szCs w:val="18"/>
          <w:color w:val="auto"/>
        </w:rPr>
        <w:t>. All agreements and obligations of the Company contained herein shall continue during the period that Indemnitee is a director or officer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83" w:lineRule="exact"/>
        <w:rPr>
          <w:rFonts w:ascii="Times New Roman" w:cs="Times New Roman" w:eastAsia="Times New Roman" w:hAnsi="Times New Roman"/>
          <w:sz w:val="18"/>
          <w:szCs w:val="18"/>
          <w:color w:val="auto"/>
        </w:rPr>
      </w:pPr>
    </w:p>
    <w:p>
      <w:pPr>
        <w:ind w:left="-20" w:right="60" w:firstLine="656"/>
        <w:spacing w:after="0" w:line="255"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xml:space="preserve">. The rights of Indemnitee hereunder will be in addition to any other rights Indemnitee may have under the Constituent Documents, the Connecticut Business Corporation Act, any other contract or otherwise (collectively, </w:t>
      </w:r>
      <w:r>
        <w:rPr>
          <w:rFonts w:ascii="Times New Roman" w:cs="Times New Roman" w:eastAsia="Times New Roman" w:hAnsi="Times New Roman"/>
          <w:sz w:val="18"/>
          <w:szCs w:val="18"/>
          <w:b w:val="1"/>
          <w:bCs w:val="1"/>
          <w:color w:val="auto"/>
        </w:rPr>
        <w:t>“Other Indemnity Provisions”</w:t>
      </w:r>
      <w:r>
        <w:rPr>
          <w:rFonts w:ascii="Times New Roman" w:cs="Times New Roman" w:eastAsia="Times New Roman" w:hAnsi="Times New Roman"/>
          <w:sz w:val="18"/>
          <w:szCs w:val="18"/>
          <w:color w:val="auto"/>
        </w:rPr>
        <w:t>); provided, however, that (a) to the extent Indemnitee otherwise would have any greater right to indemnification under any Other Indemnity Provision, Indemnitee will be deemed to have such greater right hereunder and (b) to the extent any change is made to any Other Indemnity Provision which permits any greater right to indemnification than provided under this Agreement as of the date hereof, Indemnitee will be deemed to have such greater right hereunder. The Company will not adopt any amendment to any of the Constituent Documents the effect of which would be to deny, diminish or encumber Indemnitee’s right to indemnification under this Agreement or any Other Indemnity Provision.</w:t>
      </w:r>
    </w:p>
    <w:p>
      <w:pPr>
        <w:spacing w:after="0" w:line="188" w:lineRule="exact"/>
        <w:rPr>
          <w:rFonts w:ascii="Times New Roman" w:cs="Times New Roman" w:eastAsia="Times New Roman" w:hAnsi="Times New Roman"/>
          <w:sz w:val="18"/>
          <w:szCs w:val="18"/>
          <w:color w:val="auto"/>
        </w:rPr>
      </w:pPr>
    </w:p>
    <w:p>
      <w:pPr>
        <w:ind w:left="-20" w:right="100" w:firstLine="656"/>
        <w:spacing w:after="0" w:line="254" w:lineRule="auto"/>
        <w:tabs>
          <w:tab w:leader="none" w:pos="130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Insurance</w:t>
      </w:r>
      <w:r>
        <w:rPr>
          <w:rFonts w:ascii="Times New Roman" w:cs="Times New Roman" w:eastAsia="Times New Roman" w:hAnsi="Times New Roman"/>
          <w:sz w:val="18"/>
          <w:szCs w:val="18"/>
          <w:color w:val="auto"/>
        </w:rPr>
        <w:t>. For the duration of Indemnitee’s service as a director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In all policies of directors’ and officers’ liability insurance maintained by the Company, Indemnitee shall be named as an insured in such a manner as to provide Indemnitee the same rights and benefits as are provided to the most favorably insured of the Company’s directors. Upon request, the Company will provide to Indemnitee copies of all directors’ and officers’ liability insurance applications, binders, policies, declarations, endorsements and other related materials.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8" w:name="page49"/>
    <w:bookmarkEnd w:id="48"/>
    <w:p>
      <w:pPr>
        <w:ind w:left="-40" w:right="140" w:firstLine="656"/>
        <w:spacing w:after="0" w:line="266" w:lineRule="auto"/>
        <w:tabs>
          <w:tab w:leader="none" w:pos="12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Duplication of Payments</w:t>
      </w:r>
      <w:r>
        <w:rPr>
          <w:rFonts w:ascii="Times New Roman" w:cs="Times New Roman" w:eastAsia="Times New Roman" w:hAnsi="Times New Roman"/>
          <w:sz w:val="18"/>
          <w:szCs w:val="18"/>
          <w:color w:val="auto"/>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indemnifiable by the Company hereunder.</w:t>
      </w:r>
    </w:p>
    <w:p>
      <w:pPr>
        <w:spacing w:after="0" w:line="175" w:lineRule="exact"/>
        <w:rPr>
          <w:rFonts w:ascii="Times New Roman" w:cs="Times New Roman" w:eastAsia="Times New Roman" w:hAnsi="Times New Roman"/>
          <w:sz w:val="18"/>
          <w:szCs w:val="18"/>
          <w:color w:val="auto"/>
        </w:rPr>
      </w:pPr>
    </w:p>
    <w:p>
      <w:pPr>
        <w:ind w:left="-40" w:right="20" w:firstLine="656"/>
        <w:spacing w:after="0" w:line="266" w:lineRule="auto"/>
        <w:tabs>
          <w:tab w:leader="none" w:pos="12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to Indemnitee under this Agreement, the Company shall be subrogated to the extent of such payment to all of the rights of recovery of Indemnitee. Indemnitee shall execute all papers required and shall do everything that may be necessary to secure such rights, including the execution of such documents necessary to enable the Company effectively to bring suit to enforce such rights.</w:t>
      </w:r>
    </w:p>
    <w:p>
      <w:pPr>
        <w:spacing w:after="0" w:line="175" w:lineRule="exact"/>
        <w:rPr>
          <w:rFonts w:ascii="Times New Roman" w:cs="Times New Roman" w:eastAsia="Times New Roman" w:hAnsi="Times New Roman"/>
          <w:sz w:val="18"/>
          <w:szCs w:val="18"/>
          <w:color w:val="auto"/>
        </w:rPr>
      </w:pPr>
    </w:p>
    <w:p>
      <w:pPr>
        <w:ind w:left="-40" w:right="120" w:firstLine="656"/>
        <w:spacing w:after="0" w:line="258" w:lineRule="auto"/>
        <w:tabs>
          <w:tab w:leader="none" w:pos="12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83" w:lineRule="exact"/>
        <w:rPr>
          <w:rFonts w:ascii="Times New Roman" w:cs="Times New Roman" w:eastAsia="Times New Roman" w:hAnsi="Times New Roman"/>
          <w:sz w:val="18"/>
          <w:szCs w:val="18"/>
          <w:color w:val="auto"/>
        </w:rPr>
      </w:pPr>
    </w:p>
    <w:p>
      <w:pPr>
        <w:ind w:left="-40" w:firstLine="656"/>
        <w:spacing w:after="0" w:line="256" w:lineRule="auto"/>
        <w:tabs>
          <w:tab w:leader="none" w:pos="12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spacing w:after="0" w:line="187" w:lineRule="exact"/>
        <w:rPr>
          <w:rFonts w:ascii="Times New Roman" w:cs="Times New Roman" w:eastAsia="Times New Roman" w:hAnsi="Times New Roman"/>
          <w:sz w:val="18"/>
          <w:szCs w:val="18"/>
          <w:color w:val="auto"/>
        </w:rPr>
      </w:pPr>
    </w:p>
    <w:p>
      <w:pPr>
        <w:ind w:left="-40" w:right="60" w:firstLine="656"/>
        <w:spacing w:after="0" w:line="258" w:lineRule="auto"/>
        <w:tabs>
          <w:tab w:leader="none" w:pos="12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3" w:lineRule="exact"/>
        <w:rPr>
          <w:rFonts w:ascii="Times New Roman" w:cs="Times New Roman" w:eastAsia="Times New Roman" w:hAnsi="Times New Roman"/>
          <w:sz w:val="18"/>
          <w:szCs w:val="18"/>
          <w:color w:val="auto"/>
        </w:rPr>
      </w:pPr>
    </w:p>
    <w:p>
      <w:pPr>
        <w:ind w:left="-40" w:right="140" w:firstLine="656"/>
        <w:spacing w:after="0" w:line="282" w:lineRule="auto"/>
        <w:tabs>
          <w:tab w:leader="none" w:pos="12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demands and other communications hereunder shall be in writing and shall be deemed to have been duly given if delivered by hand, against receipt, or mailed, by postage prepaid, certified or registered mail:</w:t>
      </w:r>
    </w:p>
    <w:p>
      <w:pPr>
        <w:spacing w:after="0" w:line="161" w:lineRule="exact"/>
        <w:rPr>
          <w:rFonts w:ascii="Times New Roman" w:cs="Times New Roman" w:eastAsia="Times New Roman" w:hAnsi="Times New Roman"/>
          <w:sz w:val="18"/>
          <w:szCs w:val="18"/>
          <w:color w:val="auto"/>
        </w:rPr>
      </w:pPr>
    </w:p>
    <w:p>
      <w:pPr>
        <w:ind w:left="1920" w:hanging="656"/>
        <w:spacing w:after="0"/>
        <w:tabs>
          <w:tab w:leader="none" w:pos="19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the address set forth on the signature page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1" w:right="379" w:bottom="1440" w:gutter="0" w:footer="0" w:header="0"/>
        </w:sectPr>
      </w:pPr>
    </w:p>
    <w:bookmarkStart w:id="49" w:name="page50"/>
    <w:bookmarkEnd w:id="49"/>
    <w:p>
      <w:pPr>
        <w:ind w:left="1960" w:hanging="656"/>
        <w:spacing w:after="0"/>
        <w:tabs>
          <w:tab w:leader="none" w:pos="1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15 Secor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Brookfield, CT 06804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207"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pacing w:after="0" w:line="162" w:lineRule="exact"/>
        <w:rPr>
          <w:sz w:val="20"/>
          <w:szCs w:val="20"/>
          <w:color w:val="auto"/>
        </w:rPr>
      </w:pPr>
    </w:p>
    <w:p>
      <w:pPr>
        <w:ind w:firstLine="656"/>
        <w:spacing w:after="0" w:line="255" w:lineRule="auto"/>
        <w:tabs>
          <w:tab w:leader="none" w:pos="1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Forum</w:t>
      </w:r>
      <w:r>
        <w:rPr>
          <w:rFonts w:ascii="Times New Roman" w:cs="Times New Roman" w:eastAsia="Times New Roman" w:hAnsi="Times New Roman"/>
          <w:sz w:val="18"/>
          <w:szCs w:val="18"/>
          <w:color w:val="auto"/>
        </w:rPr>
        <w:t>. This Agreement shall be governed by and construed and enforced in accordance with the laws of the State of Connecticut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Danbury Superior Court and not in any other state or federal court in the United States, (b) consent to submit to the exclusive jurisdiction of the Danbury Superior Court for purposes of any action or proceeding arising out of or in connection with this Agreement and (c) waive, and agree not to plead or make, any claim that the Danbury Superior Court lacks venue or that any such action or proceeding brought in the Danbury Superior Court has been brought in an improper or inconvenient forum.</w:t>
      </w:r>
    </w:p>
    <w:p>
      <w:pPr>
        <w:spacing w:after="0" w:line="188" w:lineRule="exact"/>
        <w:rPr>
          <w:rFonts w:ascii="Times New Roman" w:cs="Times New Roman" w:eastAsia="Times New Roman" w:hAnsi="Times New Roman"/>
          <w:sz w:val="18"/>
          <w:szCs w:val="18"/>
          <w:color w:val="auto"/>
        </w:rPr>
      </w:pPr>
    </w:p>
    <w:p>
      <w:pPr>
        <w:ind w:right="180" w:firstLine="656"/>
        <w:spacing w:after="0" w:line="282" w:lineRule="auto"/>
        <w:tabs>
          <w:tab w:leader="none" w:pos="1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161" w:lineRule="exact"/>
        <w:rPr>
          <w:rFonts w:ascii="Times New Roman" w:cs="Times New Roman" w:eastAsia="Times New Roman" w:hAnsi="Times New Roman"/>
          <w:sz w:val="18"/>
          <w:szCs w:val="18"/>
          <w:color w:val="auto"/>
        </w:rPr>
      </w:pPr>
    </w:p>
    <w:p>
      <w:pPr>
        <w:ind w:right="340" w:firstLine="656"/>
        <w:spacing w:after="0" w:line="282" w:lineRule="auto"/>
        <w:tabs>
          <w:tab w:leader="none" w:pos="13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for all purposes be deemed to be an original, but all of which together shall constitute one and the same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date first above written.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PHOTRONICS,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192024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163195</wp:posOffset>
            </wp:positionV>
            <wp:extent cx="213423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317500</wp:posOffset>
            </wp:positionV>
            <wp:extent cx="21342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34235" cy="171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26035</wp:posOffset>
            </wp:positionV>
            <wp:extent cx="17056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right="240" w:hanging="488"/>
        <w:spacing w:after="0" w:line="266" w:lineRule="auto"/>
        <w:tabs>
          <w:tab w:leader="none" w:pos="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00" w:hanging="488"/>
        <w:spacing w:after="0" w:line="266" w:lineRule="auto"/>
        <w:tabs>
          <w:tab w:leader="none" w:pos="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680" w:hanging="488"/>
        <w:spacing w:after="0" w:line="312" w:lineRule="auto"/>
        <w:tabs>
          <w:tab w:leader="none" w:pos="8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20" w:hanging="488"/>
        <w:spacing w:after="0" w:line="266" w:lineRule="auto"/>
        <w:tabs>
          <w:tab w:leader="none" w:pos="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40" w:hanging="488"/>
        <w:spacing w:after="0" w:line="282" w:lineRule="auto"/>
        <w:tabs>
          <w:tab w:leader="none" w:pos="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100" w:hanging="488"/>
        <w:spacing w:after="0" w:line="282" w:lineRule="auto"/>
        <w:tabs>
          <w:tab w:leader="none" w:pos="8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2143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right="240" w:hanging="488"/>
        <w:spacing w:after="0" w:line="266"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820" w:right="500" w:hanging="488"/>
        <w:spacing w:after="0" w:line="266"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820" w:right="680" w:hanging="488"/>
        <w:spacing w:after="0" w:line="312" w:lineRule="auto"/>
        <w:tabs>
          <w:tab w:leader="none" w:pos="8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820" w:right="220" w:hanging="488"/>
        <w:spacing w:after="0" w:line="266"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right="140" w:hanging="488"/>
        <w:spacing w:after="0" w:line="282"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100" w:hanging="488"/>
        <w:spacing w:after="0" w:line="282"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21437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Chief Executive Officer of Photronics, Inc. (the “Company”), certify, to my knowledge,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207" w:lineRule="exact"/>
        <w:rPr>
          <w:sz w:val="20"/>
          <w:szCs w:val="20"/>
          <w:color w:val="auto"/>
        </w:rPr>
      </w:pPr>
    </w:p>
    <w:p>
      <w:pPr>
        <w:ind w:left="660" w:right="24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May 4,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214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Eric Rivera, Chief Financial Officer of Photronics, Inc. (the “Company”), certify, to my knowledge, pursuant to Section 906 of the Sarbanes-Oxley Act of 2002, 18 U.S.C. Section 1350, that:</w:t>
      </w:r>
    </w:p>
    <w:p>
      <w:pPr>
        <w:spacing w:after="0" w:line="162" w:lineRule="exact"/>
        <w:rPr>
          <w:sz w:val="20"/>
          <w:szCs w:val="20"/>
          <w:color w:val="auto"/>
        </w:rPr>
      </w:pPr>
    </w:p>
    <w:p>
      <w:pPr>
        <w:ind w:left="660" w:right="240" w:hanging="652"/>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May 4, 2025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2143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 Principal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6">
    <w:nsid w:val="257130A3"/>
    <w:multiLevelType w:val="hybridMultilevel"/>
    <w:lvl w:ilvl="0">
      <w:lvlJc w:val="left"/>
      <w:lvlText w:val="%1"/>
      <w:numFmt w:val="lowerLetter"/>
      <w:start w:val="1"/>
    </w:lvl>
    <w:lvl w:ilvl="1">
      <w:lvlJc w:val="left"/>
      <w:lvlText w:val="(%2)"/>
      <w:numFmt w:val="lowerRoman"/>
      <w:start w:val="2"/>
    </w:lvl>
  </w:abstractNum>
  <w:abstractNum w:abstractNumId="7">
    <w:nsid w:val="62BBD95A"/>
    <w:multiLevelType w:val="hybridMultilevel"/>
    <w:lvl w:ilvl="0">
      <w:lvlJc w:val="left"/>
      <w:lvlText w:val="(%1)"/>
      <w:numFmt w:val="lowerLetter"/>
      <w:start w:val="3"/>
    </w:lvl>
    <w:lvl w:ilvl="1">
      <w:lvlJc w:val="left"/>
      <w:lvlText w:val="(%2)"/>
      <w:numFmt w:val="lowerRoman"/>
      <w:start w:val="1"/>
    </w:lvl>
  </w:abstractNum>
  <w:abstractNum w:abstractNumId="8">
    <w:nsid w:val="436C6125"/>
    <w:multiLevelType w:val="hybridMultilevel"/>
    <w:lvl w:ilvl="0">
      <w:lvlJc w:val="left"/>
      <w:lvlText w:val="(%1)"/>
      <w:numFmt w:val="lowerLetter"/>
      <w:start w:val="7"/>
    </w:lvl>
  </w:abstractNum>
  <w:abstractNum w:abstractNumId="9">
    <w:nsid w:val="628C895D"/>
    <w:multiLevelType w:val="hybridMultilevel"/>
    <w:lvl w:ilvl="0">
      <w:lvlJc w:val="left"/>
      <w:lvlText w:val="(%1)"/>
      <w:numFmt w:val="lowerLetter"/>
      <w:start w:val="8"/>
    </w:lvl>
  </w:abstractNum>
  <w:abstractNum w:abstractNumId="10">
    <w:nsid w:val="333AB105"/>
    <w:multiLevelType w:val="hybridMultilevel"/>
    <w:lvl w:ilvl="0">
      <w:lvlJc w:val="left"/>
      <w:lvlText w:val="%1"/>
      <w:numFmt w:val="decimal"/>
      <w:start w:val="1"/>
    </w:lvl>
    <w:lvl w:ilvl="1">
      <w:lvlJc w:val="left"/>
      <w:lvlText w:val="(%2)"/>
      <w:numFmt w:val="lowerLetter"/>
      <w:start w:val="13"/>
    </w:lvl>
  </w:abstractNum>
  <w:abstractNum w:abstractNumId="11">
    <w:nsid w:val="721DA317"/>
    <w:multiLevelType w:val="hybridMultilevel"/>
    <w:lvl w:ilvl="0">
      <w:lvlJc w:val="left"/>
      <w:lvlText w:val="%1."/>
      <w:numFmt w:val="decimal"/>
      <w:start w:val="2"/>
    </w:lvl>
    <w:lvl w:ilvl="1">
      <w:lvlJc w:val="left"/>
      <w:lvlText w:val="%2"/>
      <w:numFmt w:val="lowerLetter"/>
      <w:start w:val="1"/>
    </w:lvl>
  </w:abstractNum>
  <w:abstractNum w:abstractNumId="12">
    <w:nsid w:val="2443A858"/>
    <w:multiLevelType w:val="hybridMultilevel"/>
    <w:lvl w:ilvl="0">
      <w:lvlJc w:val="left"/>
      <w:lvlText w:val="%1."/>
      <w:numFmt w:val="decimal"/>
      <w:start w:val="5"/>
    </w:lvl>
    <w:lvl w:ilvl="1">
      <w:lvlJc w:val="left"/>
      <w:lvlText w:val="(%2)"/>
      <w:numFmt w:val="lowerLetter"/>
      <w:start w:val="1"/>
    </w:lvl>
  </w:abstractNum>
  <w:abstractNum w:abstractNumId="13">
    <w:nsid w:val="2D1D5AE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6763845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1)"/>
      <w:numFmt w:val="lowerLetter"/>
      <w:start w:val="3"/>
    </w:lvl>
    <w:lvl w:ilvl="1">
      <w:lvlJc w:val="left"/>
      <w:lvlText w:val="(%2)"/>
      <w:numFmt w:val="lowerRoman"/>
      <w:start w:val="1"/>
    </w:lvl>
  </w:abstractNum>
  <w:abstractNum w:abstractNumId="17">
    <w:nsid w:val="79838CB2"/>
    <w:multiLevelType w:val="hybridMultilevel"/>
    <w:lvl w:ilvl="0">
      <w:lvlJc w:val="left"/>
      <w:lvlText w:val="(%1)"/>
      <w:numFmt w:val="lowerRoman"/>
      <w:start w:val="3"/>
    </w:lvl>
  </w:abstractNum>
  <w:abstractNum w:abstractNumId="18">
    <w:nsid w:val="4353D0CD"/>
    <w:multiLevelType w:val="hybridMultilevel"/>
    <w:lvl w:ilvl="0">
      <w:lvlJc w:val="left"/>
      <w:lvlText w:val="(%1)"/>
      <w:numFmt w:val="lowerLetter"/>
      <w:start w:val="5"/>
    </w:lvl>
  </w:abstractNum>
  <w:abstractNum w:abstractNumId="19">
    <w:nsid w:val="B03E0C6"/>
    <w:multiLevelType w:val="hybridMultilevel"/>
    <w:lvl w:ilvl="0">
      <w:lvlJc w:val="left"/>
      <w:lvlText w:val="(%1)"/>
      <w:numFmt w:val="lowerLetter"/>
      <w:start w:val="6"/>
    </w:lvl>
    <w:lvl w:ilvl="1">
      <w:lvlJc w:val="left"/>
      <w:lvlText w:val="(%2)"/>
      <w:numFmt w:val="lowerRoman"/>
      <w:start w:val="1"/>
    </w:lvl>
  </w:abstractNum>
  <w:abstractNum w:abstractNumId="20">
    <w:nsid w:val="189A76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1">
    <w:nsid w:val="54E49EB4"/>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22">
    <w:nsid w:val="71F32454"/>
    <w:multiLevelType w:val="hybridMultilevel"/>
    <w:lvl w:ilvl="0">
      <w:lvlJc w:val="left"/>
      <w:lvlText w:val="%1"/>
      <w:numFmt w:val="lowerLetter"/>
      <w:start w:val="1"/>
    </w:lvl>
    <w:lvl w:ilvl="1">
      <w:lvlJc w:val="left"/>
      <w:lvlText w:val="(%2)"/>
      <w:numFmt w:val="lowerLetter"/>
      <w:start w:val="35"/>
    </w:lvl>
  </w:abstractNum>
  <w:abstractNum w:abstractNumId="23">
    <w:nsid w:val="2CA88611"/>
    <w:multiLevelType w:val="hybridMultilevel"/>
    <w:lvl w:ilvl="0">
      <w:lvlJc w:val="left"/>
      <w:lvlText w:val="(%1)"/>
      <w:numFmt w:val="lowerLetter"/>
      <w:start w:val="2"/>
    </w:lvl>
    <w:lvl w:ilvl="1">
      <w:lvlJc w:val="left"/>
      <w:lvlText w:val="%2"/>
      <w:numFmt w:val="lowerLetter"/>
      <w:start w:val="1"/>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decimal"/>
      <w:start w:val="15"/>
    </w:lvl>
    <w:lvl w:ilvl="1">
      <w:lvlJc w:val="left"/>
      <w:lvlText w:val="(%2)"/>
      <w:numFmt w:val="lowerLetter"/>
      <w:start w:val="1"/>
    </w:lvl>
  </w:abstractNum>
  <w:abstractNum w:abstractNumId="26">
    <w:nsid w:val="3A95F874"/>
    <w:multiLevelType w:val="hybridMultilevel"/>
    <w:lvl w:ilvl="0">
      <w:lvlJc w:val="left"/>
      <w:lvlText w:val="(%1)"/>
      <w:numFmt w:val="lowerLetter"/>
      <w:start w:val="2"/>
    </w:lvl>
  </w:abstractNum>
  <w:abstractNum w:abstractNumId="27">
    <w:nsid w:val="8138641"/>
    <w:multiLevelType w:val="hybridMultilevel"/>
    <w:lvl w:ilvl="0">
      <w:lvlJc w:val="left"/>
      <w:lvlText w:val="%1."/>
      <w:numFmt w:val="decimal"/>
      <w:start w:val="2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2025-06-11T15:32:20Z</dcterms:created>
  <dcterms:modified xsi:type="dcterms:W3CDTF">2025-06-11T15:32:20Z</dcterms:modified>
</cp:coreProperties>
</file>