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378460</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t>UNITED STATES</w:t>
      </w:r>
    </w:p>
    <w:p>
      <w:pPr>
        <w:spacing w:after="0" w:line="33"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24"/>
          <w:szCs w:val="24"/>
          <w:color w:val="auto"/>
        </w:rPr>
        <w:t>Washington, D.C. 20549</w:t>
      </w:r>
    </w:p>
    <w:p>
      <w:pPr>
        <w:spacing w:after="0" w:line="210"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10-Q</w:t>
      </w:r>
    </w:p>
    <w:p>
      <w:pPr>
        <w:spacing w:after="0" w:line="267" w:lineRule="exact"/>
        <w:rPr>
          <w:sz w:val="24"/>
          <w:szCs w:val="24"/>
          <w:color w:val="auto"/>
        </w:rPr>
      </w:pPr>
    </w:p>
    <w:p>
      <w:pPr>
        <w:ind w:left="1420" w:hanging="379"/>
        <w:spacing w:after="0"/>
        <w:tabs>
          <w:tab w:leader="none" w:pos="1420"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QUARTERLY REPORT PURSUANT TO SECTION 13 OR 15 (d) OF THE SECURITIES EXCHANGE ACT OF 1934</w:t>
      </w:r>
    </w:p>
    <w:p>
      <w:pPr>
        <w:spacing w:after="0" w:line="44" w:lineRule="exact"/>
        <w:rPr>
          <w:rFonts w:ascii="Arial" w:cs="Arial" w:eastAsia="Arial" w:hAnsi="Arial"/>
          <w:sz w:val="16"/>
          <w:szCs w:val="16"/>
          <w:b w:val="1"/>
          <w:bCs w:val="1"/>
          <w:color w:val="auto"/>
        </w:rPr>
      </w:pPr>
    </w:p>
    <w:p>
      <w:pPr>
        <w:ind w:left="4080"/>
        <w:spacing w:after="0"/>
        <w:rPr>
          <w:rFonts w:ascii="Arial" w:cs="Arial" w:eastAsia="Arial" w:hAnsi="Arial"/>
          <w:sz w:val="16"/>
          <w:szCs w:val="16"/>
          <w:b w:val="1"/>
          <w:bCs w:val="1"/>
          <w:color w:val="auto"/>
        </w:rPr>
      </w:pPr>
      <w:r>
        <w:rPr>
          <w:rFonts w:ascii="Arial" w:cs="Arial" w:eastAsia="Arial" w:hAnsi="Arial"/>
          <w:sz w:val="18"/>
          <w:szCs w:val="18"/>
          <w:b w:val="1"/>
          <w:bCs w:val="1"/>
          <w:color w:val="auto"/>
        </w:rPr>
        <w:t>For the quarterly period ended January 30, 2011</w:t>
      </w:r>
    </w:p>
    <w:p>
      <w:pPr>
        <w:spacing w:after="0" w:line="240" w:lineRule="exact"/>
        <w:rPr>
          <w:sz w:val="24"/>
          <w:szCs w:val="24"/>
          <w:color w:val="auto"/>
        </w:rPr>
      </w:pPr>
    </w:p>
    <w:p>
      <w:pPr>
        <w:jc w:val="center"/>
        <w:ind w:left="360"/>
        <w:spacing w:after="0"/>
        <w:rPr>
          <w:sz w:val="20"/>
          <w:szCs w:val="20"/>
          <w:color w:val="auto"/>
        </w:rPr>
      </w:pPr>
      <w:r>
        <w:rPr>
          <w:rFonts w:ascii="Arial" w:cs="Arial" w:eastAsia="Arial" w:hAnsi="Arial"/>
          <w:sz w:val="18"/>
          <w:szCs w:val="18"/>
          <w:b w:val="1"/>
          <w:bCs w:val="1"/>
          <w:color w:val="auto"/>
        </w:rPr>
        <w:t>OR</w:t>
      </w:r>
    </w:p>
    <w:p>
      <w:pPr>
        <w:spacing w:after="0" w:line="279" w:lineRule="exact"/>
        <w:rPr>
          <w:sz w:val="24"/>
          <w:szCs w:val="24"/>
          <w:color w:val="auto"/>
        </w:rPr>
      </w:pPr>
    </w:p>
    <w:p>
      <w:pPr>
        <w:ind w:left="4260" w:right="1060" w:hanging="3219"/>
        <w:spacing w:after="0" w:line="306" w:lineRule="auto"/>
        <w:tabs>
          <w:tab w:leader="none" w:pos="1415"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TRANSITION REPORT PURSUANT TO SECTION 13 OR 15 (d) OF THE SECURITIES EXCHANGE ACT OF 1934 </w:t>
      </w:r>
      <w:r>
        <w:rPr>
          <w:rFonts w:ascii="Arial" w:cs="Arial" w:eastAsia="Arial" w:hAnsi="Arial"/>
          <w:sz w:val="18"/>
          <w:szCs w:val="18"/>
          <w:color w:val="auto"/>
        </w:rPr>
        <w:t>For the transition period from ___ to ___</w:t>
      </w:r>
    </w:p>
    <w:p>
      <w:pPr>
        <w:spacing w:after="0" w:line="14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8"/>
          <w:szCs w:val="18"/>
          <w:color w:val="auto"/>
        </w:rPr>
        <w:t>0-15451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3238500</wp:posOffset>
            </wp:positionH>
            <wp:positionV relativeFrom="paragraph">
              <wp:posOffset>169545</wp:posOffset>
            </wp:positionV>
            <wp:extent cx="780415" cy="909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80415" cy="9093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7" w:lineRule="exact"/>
        <w:rPr>
          <w:sz w:val="24"/>
          <w:szCs w:val="24"/>
          <w:color w:val="auto"/>
        </w:rPr>
      </w:pPr>
    </w:p>
    <w:p>
      <w:pPr>
        <w:jc w:val="center"/>
        <w:ind w:right="60"/>
        <w:spacing w:after="0"/>
        <w:rPr>
          <w:sz w:val="20"/>
          <w:szCs w:val="20"/>
          <w:color w:val="auto"/>
        </w:rPr>
      </w:pPr>
      <w:r>
        <w:rPr>
          <w:rFonts w:ascii="Arial" w:cs="Arial" w:eastAsia="Arial" w:hAnsi="Arial"/>
          <w:sz w:val="18"/>
          <w:szCs w:val="18"/>
          <w:b w:val="1"/>
          <w:bCs w:val="1"/>
          <w:color w:val="auto"/>
        </w:rPr>
        <w:t>PHOTRONICS, INC.</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i w:val="1"/>
          <w:iCs w:val="1"/>
          <w:color w:val="auto"/>
        </w:rPr>
        <w:t>(Exact name of registrant as specified in its charter)</w:t>
      </w:r>
    </w:p>
    <w:p>
      <w:pPr>
        <w:sectPr>
          <w:pgSz w:w="11900" w:h="16838" w:orient="portrait"/>
          <w:cols w:equalWidth="0" w:num="1">
            <w:col w:w="11440"/>
          </w:cols>
          <w:pgMar w:left="240" w:top="693" w:right="219" w:bottom="546" w:gutter="0" w:footer="0" w:header="0"/>
        </w:sectPr>
      </w:pPr>
    </w:p>
    <w:p>
      <w:pPr>
        <w:spacing w:after="0" w:line="232" w:lineRule="exact"/>
        <w:rPr>
          <w:sz w:val="24"/>
          <w:szCs w:val="24"/>
          <w:color w:val="auto"/>
        </w:rPr>
      </w:pPr>
    </w:p>
    <w:p>
      <w:pPr>
        <w:ind w:left="2380"/>
        <w:spacing w:after="0"/>
        <w:rPr>
          <w:sz w:val="20"/>
          <w:szCs w:val="20"/>
          <w:color w:val="auto"/>
        </w:rPr>
      </w:pPr>
      <w:r>
        <w:rPr>
          <w:rFonts w:ascii="Arial" w:cs="Arial" w:eastAsia="Arial" w:hAnsi="Arial"/>
          <w:sz w:val="15"/>
          <w:szCs w:val="15"/>
          <w:b w:val="1"/>
          <w:bCs w:val="1"/>
          <w:color w:val="auto"/>
        </w:rPr>
        <w:t>Connecticut</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06-0854886</w:t>
      </w:r>
    </w:p>
    <w:p>
      <w:pPr>
        <w:spacing w:after="0" w:line="77" w:lineRule="exact"/>
        <w:rPr>
          <w:sz w:val="24"/>
          <w:szCs w:val="24"/>
          <w:color w:val="auto"/>
        </w:rPr>
      </w:pPr>
    </w:p>
    <w:p>
      <w:pPr>
        <w:sectPr>
          <w:pgSz w:w="11900" w:h="16838" w:orient="portrait"/>
          <w:cols w:equalWidth="0" w:num="2">
            <w:col w:w="7400" w:space="720"/>
            <w:col w:w="3320"/>
          </w:cols>
          <w:pgMar w:left="240" w:top="693" w:right="219" w:bottom="546" w:gutter="0" w:footer="0" w:header="0"/>
          <w:type w:val="continuous"/>
        </w:sectPr>
      </w:pPr>
    </w:p>
    <w:p>
      <w:pPr>
        <w:ind w:left="1900"/>
        <w:spacing w:after="0"/>
        <w:rPr>
          <w:sz w:val="20"/>
          <w:szCs w:val="20"/>
          <w:color w:val="auto"/>
        </w:rPr>
      </w:pPr>
      <w:r>
        <w:rPr>
          <w:rFonts w:ascii="Arial" w:cs="Arial" w:eastAsia="Arial" w:hAnsi="Arial"/>
          <w:sz w:val="16"/>
          <w:szCs w:val="16"/>
          <w:i w:val="1"/>
          <w:iCs w:val="1"/>
          <w:color w:val="auto"/>
        </w:rPr>
        <w:t>(State or other jurisdiction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i w:val="1"/>
          <w:iCs w:val="1"/>
          <w:color w:val="auto"/>
        </w:rPr>
        <w:t>(IRS Employer</w:t>
      </w:r>
    </w:p>
    <w:p>
      <w:pPr>
        <w:spacing w:after="0" w:line="70" w:lineRule="exact"/>
        <w:rPr>
          <w:sz w:val="24"/>
          <w:szCs w:val="24"/>
          <w:color w:val="auto"/>
        </w:rPr>
      </w:pPr>
    </w:p>
    <w:p>
      <w:pPr>
        <w:sectPr>
          <w:pgSz w:w="11900" w:h="16838" w:orient="portrait"/>
          <w:cols w:equalWidth="0" w:num="2">
            <w:col w:w="7300" w:space="720"/>
            <w:col w:w="3420"/>
          </w:cols>
          <w:pgMar w:left="240" w:top="693" w:right="219" w:bottom="546" w:gutter="0" w:footer="0" w:header="0"/>
          <w:type w:val="continuous"/>
        </w:sectPr>
      </w:pPr>
    </w:p>
    <w:p>
      <w:pPr>
        <w:ind w:left="1660"/>
        <w:spacing w:after="0"/>
        <w:rPr>
          <w:sz w:val="20"/>
          <w:szCs w:val="20"/>
          <w:color w:val="auto"/>
        </w:rPr>
      </w:pPr>
      <w:r>
        <w:rPr>
          <w:rFonts w:ascii="Arial" w:cs="Arial" w:eastAsia="Arial" w:hAnsi="Arial"/>
          <w:sz w:val="16"/>
          <w:szCs w:val="16"/>
          <w:i w:val="1"/>
          <w:iCs w:val="1"/>
          <w:color w:val="auto"/>
        </w:rPr>
        <w:t>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i w:val="1"/>
          <w:iCs w:val="1"/>
          <w:color w:val="auto"/>
        </w:rPr>
        <w:t>Identification Number)</w:t>
      </w:r>
    </w:p>
    <w:p>
      <w:pPr>
        <w:spacing w:after="0" w:line="200" w:lineRule="exact"/>
        <w:rPr>
          <w:sz w:val="24"/>
          <w:szCs w:val="24"/>
          <w:color w:val="auto"/>
        </w:rPr>
      </w:pPr>
    </w:p>
    <w:p>
      <w:pPr>
        <w:sectPr>
          <w:pgSz w:w="11900" w:h="16838" w:orient="portrait"/>
          <w:cols w:equalWidth="0" w:num="2">
            <w:col w:w="7000" w:space="720"/>
            <w:col w:w="3720"/>
          </w:cols>
          <w:pgMar w:left="240" w:top="693" w:right="219" w:bottom="546" w:gutter="0" w:footer="0" w:header="0"/>
          <w:type w:val="continuous"/>
        </w:sectPr>
      </w:pPr>
    </w:p>
    <w:p>
      <w:pPr>
        <w:spacing w:after="0" w:line="8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15 Secor Road, Brookfield, Connecticut 06804</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i w:val="1"/>
          <w:iCs w:val="1"/>
          <w:color w:val="auto"/>
        </w:rPr>
        <w:t>(Address of principal executive offices and zip code)</w:t>
      </w:r>
    </w:p>
    <w:p>
      <w:pPr>
        <w:spacing w:after="0" w:line="218"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(203) 775-9000</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i w:val="1"/>
          <w:iCs w:val="1"/>
          <w:color w:val="auto"/>
        </w:rPr>
        <w:t>(Registrant's telephone number, including area code)</w:t>
      </w:r>
    </w:p>
    <w:p>
      <w:pPr>
        <w:spacing w:after="0" w:line="218"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None</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8"/>
          <w:szCs w:val="18"/>
          <w:i w:val="1"/>
          <w:iCs w:val="1"/>
          <w:color w:val="auto"/>
        </w:rPr>
        <w:t>(Former name, former address and formal fiscal year, if changed since last report)</w:t>
      </w:r>
    </w:p>
    <w:p>
      <w:pPr>
        <w:spacing w:after="0" w:line="246" w:lineRule="exact"/>
        <w:rPr>
          <w:sz w:val="24"/>
          <w:szCs w:val="24"/>
          <w:color w:val="auto"/>
        </w:rPr>
      </w:pPr>
    </w:p>
    <w:p>
      <w:pPr>
        <w:ind w:right="140"/>
        <w:spacing w:after="0" w:line="25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periods that the registrant was required to file such reports), and (2) has been subject to such filing requirements for the past 90 days.</w:t>
      </w:r>
    </w:p>
    <w:p>
      <w:pPr>
        <w:spacing w:after="0" w:line="242" w:lineRule="exact"/>
        <w:rPr>
          <w:sz w:val="20"/>
          <w:szCs w:val="20"/>
          <w:color w:val="auto"/>
        </w:rPr>
      </w:pPr>
      <w:r>
        <w:rPr>
          <w:rFonts w:ascii="Arial" w:cs="Arial" w:eastAsia="Arial" w:hAnsi="Arial"/>
          <w:sz w:val="18"/>
          <w:szCs w:val="18"/>
          <w:b w:val="1"/>
          <w:bCs w:val="1"/>
          <w:color w:val="auto"/>
        </w:rPr>
        <w:t xml:space="preserve">Yes </w:t>
      </w:r>
      <w:r>
        <w:rPr>
          <w:rFonts w:ascii="Arial" w:cs="Arial" w:eastAsia="Arial" w:hAnsi="Arial"/>
          <w:sz w:val="21"/>
          <w:szCs w:val="21"/>
          <w:color w:val="auto"/>
        </w:rPr>
        <w:t>x</w:t>
      </w:r>
      <w:r>
        <w:rPr>
          <w:rFonts w:ascii="Arial" w:cs="Arial" w:eastAsia="Arial" w:hAnsi="Arial"/>
          <w:sz w:val="18"/>
          <w:szCs w:val="18"/>
          <w:b w:val="1"/>
          <w:bCs w:val="1"/>
          <w:color w:val="auto"/>
        </w:rPr>
        <w:t xml:space="preserve"> No </w:t>
      </w:r>
      <w:r>
        <w:rPr>
          <w:rFonts w:ascii="MS PGothic" w:cs="MS PGothic" w:eastAsia="MS PGothic" w:hAnsi="MS PGothic"/>
          <w:sz w:val="21"/>
          <w:szCs w:val="21"/>
          <w:color w:val="auto"/>
        </w:rPr>
        <w:t>☐</w:t>
      </w:r>
    </w:p>
    <w:p>
      <w:pPr>
        <w:spacing w:after="0" w:line="252" w:lineRule="exact"/>
        <w:rPr>
          <w:sz w:val="24"/>
          <w:szCs w:val="24"/>
          <w:color w:val="auto"/>
        </w:rPr>
      </w:pPr>
    </w:p>
    <w:p>
      <w:pPr>
        <w:ind w:right="160"/>
        <w:spacing w:after="0" w:line="252"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xml:space="preserve">Yes </w:t>
      </w:r>
      <w:r>
        <w:rPr>
          <w:rFonts w:ascii="Arial" w:cs="Arial" w:eastAsia="Arial" w:hAnsi="Arial"/>
          <w:sz w:val="21"/>
          <w:szCs w:val="21"/>
          <w:color w:val="auto"/>
        </w:rPr>
        <w:t>o</w:t>
      </w:r>
      <w:r>
        <w:rPr>
          <w:rFonts w:ascii="Arial" w:cs="Arial" w:eastAsia="Arial" w:hAnsi="Arial"/>
          <w:sz w:val="18"/>
          <w:szCs w:val="18"/>
          <w:b w:val="1"/>
          <w:bCs w:val="1"/>
          <w:color w:val="auto"/>
        </w:rPr>
        <w:t xml:space="preserve"> No </w:t>
      </w:r>
      <w:r>
        <w:rPr>
          <w:rFonts w:ascii="Arial" w:cs="Arial" w:eastAsia="Arial" w:hAnsi="Arial"/>
          <w:sz w:val="21"/>
          <w:szCs w:val="21"/>
          <w:color w:val="auto"/>
        </w:rPr>
        <w:t>o</w:t>
      </w:r>
    </w:p>
    <w:p>
      <w:pPr>
        <w:spacing w:after="0" w:line="240" w:lineRule="exact"/>
        <w:rPr>
          <w:sz w:val="24"/>
          <w:szCs w:val="24"/>
          <w:color w:val="auto"/>
        </w:rPr>
      </w:pPr>
    </w:p>
    <w:p>
      <w:pPr>
        <w:ind w:right="360"/>
        <w:spacing w:after="0" w:line="254"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w:t>
      </w:r>
    </w:p>
    <w:p>
      <w:pPr>
        <w:spacing w:after="0"/>
        <w:rPr>
          <w:sz w:val="20"/>
          <w:szCs w:val="20"/>
          <w:color w:val="auto"/>
        </w:rPr>
      </w:pPr>
      <w:r>
        <w:rPr>
          <w:rFonts w:ascii="Arial" w:cs="Arial" w:eastAsia="Arial" w:hAnsi="Arial"/>
          <w:sz w:val="18"/>
          <w:szCs w:val="18"/>
          <w:color w:val="auto"/>
        </w:rPr>
        <w:t>Large Accelerated Filer o Accelerated Filer x Non-Accelerated Filer o Smaller Reporting Company o</w:t>
      </w:r>
    </w:p>
    <w:p>
      <w:pPr>
        <w:spacing w:after="0" w:line="246"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xml:space="preserve">Yes </w:t>
      </w:r>
      <w:r>
        <w:rPr>
          <w:rFonts w:ascii="Arial" w:cs="Arial" w:eastAsia="Arial" w:hAnsi="Arial"/>
          <w:sz w:val="21"/>
          <w:szCs w:val="21"/>
          <w:color w:val="auto"/>
        </w:rPr>
        <w:t>o</w:t>
      </w:r>
      <w:r>
        <w:rPr>
          <w:rFonts w:ascii="Arial" w:cs="Arial" w:eastAsia="Arial" w:hAnsi="Arial"/>
          <w:sz w:val="18"/>
          <w:szCs w:val="18"/>
          <w:b w:val="1"/>
          <w:bCs w:val="1"/>
          <w:color w:val="auto"/>
        </w:rPr>
        <w:t xml:space="preserve"> No </w:t>
      </w:r>
      <w:r>
        <w:rPr>
          <w:rFonts w:ascii="Arial" w:cs="Arial" w:eastAsia="Arial" w:hAnsi="Arial"/>
          <w:sz w:val="21"/>
          <w:szCs w:val="21"/>
          <w:color w:val="auto"/>
        </w:rPr>
        <w:t>x</w:t>
      </w:r>
    </w:p>
    <w:p>
      <w:pPr>
        <w:spacing w:after="0" w:line="240"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6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5760" w:type="dxa"/>
            <w:vAlign w:val="bottom"/>
          </w:tcPr>
          <w:p>
            <w:pPr>
              <w:jc w:val="center"/>
              <w:ind w:right="12"/>
              <w:spacing w:after="0"/>
              <w:rPr>
                <w:sz w:val="20"/>
                <w:szCs w:val="20"/>
                <w:color w:val="auto"/>
              </w:rPr>
            </w:pPr>
            <w:r>
              <w:rPr>
                <w:rFonts w:ascii="Arial" w:cs="Arial" w:eastAsia="Arial" w:hAnsi="Arial"/>
                <w:sz w:val="18"/>
                <w:szCs w:val="18"/>
                <w:color w:val="auto"/>
                <w:w w:val="84"/>
              </w:rPr>
              <w:t>Class</w:t>
            </w:r>
          </w:p>
        </w:tc>
        <w:tc>
          <w:tcPr>
            <w:tcW w:w="5680" w:type="dxa"/>
            <w:vAlign w:val="bottom"/>
          </w:tcPr>
          <w:p>
            <w:pPr>
              <w:jc w:val="center"/>
              <w:ind w:right="52"/>
              <w:spacing w:after="0"/>
              <w:rPr>
                <w:sz w:val="20"/>
                <w:szCs w:val="20"/>
                <w:color w:val="auto"/>
              </w:rPr>
            </w:pPr>
            <w:r>
              <w:rPr>
                <w:rFonts w:ascii="Arial" w:cs="Arial" w:eastAsia="Arial" w:hAnsi="Arial"/>
                <w:sz w:val="18"/>
                <w:szCs w:val="18"/>
                <w:color w:val="auto"/>
                <w:w w:val="88"/>
              </w:rPr>
              <w:t>Outstanding at March 1, 2011</w:t>
            </w:r>
          </w:p>
        </w:tc>
      </w:tr>
      <w:tr>
        <w:trPr>
          <w:trHeight w:val="243"/>
        </w:trPr>
        <w:tc>
          <w:tcPr>
            <w:tcW w:w="5760" w:type="dxa"/>
            <w:vAlign w:val="bottom"/>
          </w:tcPr>
          <w:p>
            <w:pPr>
              <w:jc w:val="center"/>
              <w:ind w:right="12"/>
              <w:spacing w:after="0"/>
              <w:rPr>
                <w:sz w:val="20"/>
                <w:szCs w:val="20"/>
                <w:color w:val="auto"/>
              </w:rPr>
            </w:pPr>
            <w:r>
              <w:rPr>
                <w:rFonts w:ascii="Arial" w:cs="Arial" w:eastAsia="Arial" w:hAnsi="Arial"/>
                <w:sz w:val="18"/>
                <w:szCs w:val="18"/>
                <w:b w:val="1"/>
                <w:bCs w:val="1"/>
                <w:color w:val="auto"/>
                <w:w w:val="87"/>
              </w:rPr>
              <w:t>Common Stock, $0.01 par value</w:t>
            </w:r>
          </w:p>
        </w:tc>
        <w:tc>
          <w:tcPr>
            <w:tcW w:w="5680" w:type="dxa"/>
            <w:vAlign w:val="bottom"/>
          </w:tcPr>
          <w:p>
            <w:pPr>
              <w:jc w:val="center"/>
              <w:ind w:right="32"/>
              <w:spacing w:after="0"/>
              <w:rPr>
                <w:sz w:val="20"/>
                <w:szCs w:val="20"/>
                <w:color w:val="auto"/>
              </w:rPr>
            </w:pPr>
            <w:r>
              <w:rPr>
                <w:rFonts w:ascii="Arial" w:cs="Arial" w:eastAsia="Arial" w:hAnsi="Arial"/>
                <w:sz w:val="18"/>
                <w:szCs w:val="18"/>
                <w:b w:val="1"/>
                <w:bCs w:val="1"/>
                <w:color w:val="auto"/>
                <w:w w:val="85"/>
              </w:rPr>
              <w:t>54,260,114 Shares</w:t>
            </w:r>
          </w:p>
        </w:tc>
      </w:tr>
      <w:tr>
        <w:trPr>
          <w:trHeight w:val="377"/>
        </w:trPr>
        <w:tc>
          <w:tcPr>
            <w:tcW w:w="5760" w:type="dxa"/>
            <w:vAlign w:val="bottom"/>
            <w:tcBorders>
              <w:bottom w:val="single" w:sz="8" w:color="808080"/>
            </w:tcBorders>
          </w:tcPr>
          <w:p>
            <w:pPr>
              <w:spacing w:after="0"/>
              <w:rPr>
                <w:sz w:val="24"/>
                <w:szCs w:val="24"/>
                <w:color w:val="auto"/>
              </w:rPr>
            </w:pPr>
          </w:p>
        </w:tc>
        <w:tc>
          <w:tcPr>
            <w:tcW w:w="5680" w:type="dxa"/>
            <w:vAlign w:val="bottom"/>
            <w:tcBorders>
              <w:bottom w:val="single" w:sz="8" w:color="808080"/>
            </w:tcBorders>
          </w:tcPr>
          <w:p>
            <w:pPr>
              <w:spacing w:after="0"/>
              <w:rPr>
                <w:sz w:val="24"/>
                <w:szCs w:val="24"/>
                <w:color w:val="auto"/>
              </w:rPr>
            </w:pPr>
          </w:p>
        </w:tc>
      </w:tr>
      <w:tr>
        <w:trPr>
          <w:trHeight w:val="466"/>
        </w:trPr>
        <w:tc>
          <w:tcPr>
            <w:tcW w:w="5760" w:type="dxa"/>
            <w:vAlign w:val="bottom"/>
            <w:tcBorders>
              <w:bottom w:val="single" w:sz="8" w:color="808080"/>
            </w:tcBorders>
          </w:tcPr>
          <w:p>
            <w:pPr>
              <w:spacing w:after="0"/>
              <w:rPr>
                <w:sz w:val="24"/>
                <w:szCs w:val="24"/>
                <w:color w:val="auto"/>
              </w:rPr>
            </w:pPr>
          </w:p>
        </w:tc>
        <w:tc>
          <w:tcPr>
            <w:tcW w:w="568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-323215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-323215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693" w:right="219" w:bottom="546"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Forward-Looking Statements</w:t>
      </w:r>
    </w:p>
    <w:p>
      <w:pPr>
        <w:spacing w:after="0" w:line="285" w:lineRule="exact"/>
        <w:rPr>
          <w:sz w:val="20"/>
          <w:szCs w:val="20"/>
          <w:color w:val="auto"/>
        </w:rPr>
      </w:pPr>
    </w:p>
    <w:p>
      <w:pPr>
        <w:ind w:firstLine="270"/>
        <w:spacing w:after="0" w:line="284" w:lineRule="auto"/>
        <w:rPr>
          <w:sz w:val="20"/>
          <w:szCs w:val="20"/>
          <w:color w:val="auto"/>
        </w:rPr>
      </w:pPr>
      <w:r>
        <w:rPr>
          <w:rFonts w:ascii="Arial" w:cs="Arial" w:eastAsia="Arial" w:hAnsi="Arial"/>
          <w:sz w:val="16"/>
          <w:szCs w:val="16"/>
          <w:color w:val="auto"/>
        </w:rPr>
        <w:t>The Private Securities Litigation Reform Act of 1995 provides a "safe harbor" for forward-looking statements made by or on behalf of Photronics, Inc. ("Photronics" or the "Company"). These statements are based on management's beliefs, as well as assumptions made by, and information currently available to, management. Forward-looking statements may be identified by words like "expect", "anticipate", "believe", "plan", "projects", and similar expressions. All forward-looking statements involve risks and uncertainties that are difficult to predict. In particular, any statement contained in this quarterly report on Form 10-Q, in press releases, written statements, or other documents filed with the Securities and Exchange Commission or, in the Company's communications and discussions with investors and analysts in the normal course of business through meetings, phone calls, or conference calls, regarding the consummation and benefits of future acquisitions, expectations with respect to future sales, financial performance, operating efficiencies, or product expansion, are subject to known and unknown risks, uncertainties, and contingencies, many of which are beyond the control of the Company. These factors may cause actual results, performance, or achievements to differ materially from anticipated results, performance, or achievements. Factors that might affect such forward-looking statements include, but are not limited to, overall economic and business conditions; economic and political conditions in international markets; the demand for the Company's products; competitive factors in the industries and geographic markets in which the Company competes; changes in federal, state and international tax requirements (including tax rate changes, new tax laws and revised tax law interpretations); interest rate fluctuations and other capital market conditions, including changes in the market price of the Company's common stock; foreign currency exchange rate fluctuations; changes in technology; the timing, impact, and other uncertainties of future acquisitions; the seasonal and cyclical nature of the semiconductor and flat panel display industries; management changes; damage or destruction to the Company's facilities by natural disasters, labor strikes, political unrest, or terrorist activity; the ability of the Company to: place new equipment in service on a timely basis; obtain additional financing; achieve anticipated synergies and other cost savings in connection with acquisitions and productivity programs; fully utilize its tools; achieve desired yields, pricing, product mix, and market acceptance of its products; and obtain necessary export licenses. Any forward-looking statements should be considered in light of these factors. Accordingly, there is no assurance that the Company's expectations will be realized. The Company does not assume responsibility for the accuracy and completeness of the forward-looking statements and does not assume an obligation to provide revisions to any forward-looking statements.</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611" w:right="2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100" w:type="dxa"/>
            <w:vAlign w:val="bottom"/>
          </w:tcPr>
          <w:p>
            <w:pPr>
              <w:jc w:val="center"/>
              <w:ind w:right="492"/>
              <w:spacing w:after="0"/>
              <w:rPr>
                <w:sz w:val="20"/>
                <w:szCs w:val="20"/>
                <w:color w:val="auto"/>
              </w:rPr>
            </w:pPr>
            <w:r>
              <w:rPr>
                <w:rFonts w:ascii="Arial" w:cs="Arial" w:eastAsia="Arial" w:hAnsi="Arial"/>
                <w:sz w:val="18"/>
                <w:szCs w:val="18"/>
                <w:b w:val="1"/>
                <w:bCs w:val="1"/>
                <w:color w:val="auto"/>
                <w:w w:val="98"/>
              </w:rPr>
              <w:t>PHOTRONICS, INC.</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100" w:type="dxa"/>
            <w:vAlign w:val="bottom"/>
          </w:tcPr>
          <w:p>
            <w:pPr>
              <w:jc w:val="center"/>
              <w:ind w:right="512"/>
              <w:spacing w:after="0"/>
              <w:rPr>
                <w:sz w:val="20"/>
                <w:szCs w:val="20"/>
                <w:color w:val="auto"/>
              </w:rPr>
            </w:pPr>
            <w:r>
              <w:rPr>
                <w:rFonts w:ascii="Arial" w:cs="Arial" w:eastAsia="Arial" w:hAnsi="Arial"/>
                <w:sz w:val="18"/>
                <w:szCs w:val="18"/>
                <w:b w:val="1"/>
                <w:bCs w:val="1"/>
                <w:color w:val="auto"/>
                <w:w w:val="96"/>
              </w:rPr>
              <w:t>AND SUBSIDIARIES</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100" w:type="dxa"/>
            <w:vAlign w:val="bottom"/>
          </w:tcPr>
          <w:p>
            <w:pPr>
              <w:jc w:val="center"/>
              <w:ind w:right="492"/>
              <w:spacing w:after="0"/>
              <w:rPr>
                <w:sz w:val="20"/>
                <w:szCs w:val="20"/>
                <w:color w:val="auto"/>
              </w:rPr>
            </w:pPr>
            <w:r>
              <w:rPr>
                <w:rFonts w:ascii="Arial" w:cs="Arial" w:eastAsia="Arial" w:hAnsi="Arial"/>
                <w:sz w:val="18"/>
                <w:szCs w:val="18"/>
                <w:b w:val="1"/>
                <w:bCs w:val="1"/>
                <w:color w:val="auto"/>
              </w:rPr>
              <w:t>INDEX</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2"/>
        </w:trPr>
        <w:tc>
          <w:tcPr>
            <w:tcW w:w="70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260" w:type="dxa"/>
            <w:vAlign w:val="bottom"/>
          </w:tcPr>
          <w:p>
            <w:pPr>
              <w:spacing w:after="0"/>
              <w:rPr>
                <w:sz w:val="24"/>
                <w:szCs w:val="24"/>
                <w:color w:val="auto"/>
              </w:rPr>
            </w:pPr>
          </w:p>
        </w:tc>
        <w:tc>
          <w:tcPr>
            <w:tcW w:w="10100" w:type="dxa"/>
            <w:vAlign w:val="bottom"/>
          </w:tcPr>
          <w:p>
            <w:pPr>
              <w:spacing w:after="0"/>
              <w:rPr>
                <w:sz w:val="20"/>
                <w:szCs w:val="20"/>
                <w:color w:val="auto"/>
              </w:rPr>
            </w:pPr>
            <w:r>
              <w:rPr>
                <w:rFonts w:ascii="Arial" w:cs="Arial" w:eastAsia="Arial" w:hAnsi="Arial"/>
                <w:sz w:val="18"/>
                <w:szCs w:val="18"/>
                <w:b w:val="1"/>
                <w:bCs w:val="1"/>
                <w:color w:val="auto"/>
              </w:rPr>
              <w:t>FINANCIAL INFORMATION</w:t>
            </w:r>
          </w:p>
        </w:tc>
        <w:tc>
          <w:tcPr>
            <w:tcW w:w="380" w:type="dxa"/>
            <w:vAlign w:val="bottom"/>
            <w:gridSpan w:val="2"/>
          </w:tcPr>
          <w:p>
            <w:pPr>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80" w:type="dxa"/>
            <w:vAlign w:val="bottom"/>
            <w:tcBorders>
              <w:top w:val="single" w:sz="8" w:color="C0C0C0"/>
            </w:tcBorders>
            <w:shd w:val="clear" w:color="auto" w:fill="C0C0C0"/>
          </w:tcPr>
          <w:p>
            <w:pPr>
              <w:spacing w:after="0"/>
              <w:rPr>
                <w:sz w:val="20"/>
                <w:szCs w:val="20"/>
                <w:color w:val="auto"/>
              </w:rPr>
            </w:pPr>
            <w:r>
              <w:rPr>
                <w:rFonts w:ascii="Arial" w:cs="Arial" w:eastAsia="Arial" w:hAnsi="Arial"/>
                <w:sz w:val="18"/>
                <w:szCs w:val="18"/>
                <w:color w:val="auto"/>
              </w:rPr>
              <w:t>Item 1.</w:t>
            </w:r>
          </w:p>
        </w:tc>
        <w:tc>
          <w:tcPr>
            <w:tcW w:w="260" w:type="dxa"/>
            <w:vAlign w:val="bottom"/>
            <w:tcBorders>
              <w:top w:val="single" w:sz="8" w:color="C0C0C0"/>
            </w:tcBorders>
            <w:shd w:val="clear" w:color="auto" w:fill="C0C0C0"/>
          </w:tcPr>
          <w:p>
            <w:pPr>
              <w:spacing w:after="0"/>
              <w:rPr>
                <w:sz w:val="21"/>
                <w:szCs w:val="21"/>
                <w:color w:val="auto"/>
              </w:rPr>
            </w:pPr>
          </w:p>
        </w:tc>
        <w:tc>
          <w:tcPr>
            <w:tcW w:w="10100" w:type="dxa"/>
            <w:vAlign w:val="bottom"/>
            <w:tcBorders>
              <w:top w:val="single" w:sz="8" w:color="C0C0C0"/>
            </w:tcBorders>
            <w:shd w:val="clear" w:color="auto" w:fill="C0C0C0"/>
          </w:tcPr>
          <w:p>
            <w:pPr>
              <w:spacing w:after="0"/>
              <w:rPr>
                <w:sz w:val="20"/>
                <w:szCs w:val="20"/>
                <w:color w:val="auto"/>
              </w:rPr>
            </w:pPr>
            <w:r>
              <w:rPr>
                <w:rFonts w:ascii="Arial" w:cs="Arial" w:eastAsia="Arial" w:hAnsi="Arial"/>
                <w:sz w:val="18"/>
                <w:szCs w:val="18"/>
                <w:color w:val="auto"/>
              </w:rPr>
              <w:t>Condensed Consolidated Financial Statements</w:t>
            </w:r>
          </w:p>
        </w:tc>
        <w:tc>
          <w:tcPr>
            <w:tcW w:w="360" w:type="dxa"/>
            <w:vAlign w:val="bottom"/>
            <w:tcBorders>
              <w:top w:val="single" w:sz="8" w:color="auto"/>
            </w:tcBorders>
            <w:shd w:val="clear" w:color="auto" w:fill="C0C0C0"/>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shd w:val="clear" w:color="auto" w:fill="C0C0C0"/>
          </w:tcPr>
          <w:p>
            <w:pPr>
              <w:spacing w:after="0"/>
              <w:rPr>
                <w:sz w:val="19"/>
                <w:szCs w:val="19"/>
                <w:color w:val="auto"/>
              </w:rPr>
            </w:pPr>
          </w:p>
        </w:tc>
        <w:tc>
          <w:tcPr>
            <w:tcW w:w="260" w:type="dxa"/>
            <w:vAlign w:val="bottom"/>
            <w:shd w:val="clear" w:color="auto" w:fill="C0C0C0"/>
          </w:tcPr>
          <w:p>
            <w:pPr>
              <w:spacing w:after="0"/>
              <w:rPr>
                <w:sz w:val="19"/>
                <w:szCs w:val="19"/>
                <w:color w:val="auto"/>
              </w:rPr>
            </w:pPr>
          </w:p>
        </w:tc>
        <w:tc>
          <w:tcPr>
            <w:tcW w:w="10100" w:type="dxa"/>
            <w:vAlign w:val="bottom"/>
            <w:shd w:val="clear" w:color="auto" w:fill="C0C0C0"/>
          </w:tcPr>
          <w:p>
            <w:pPr>
              <w:spacing w:after="0"/>
              <w:rPr>
                <w:sz w:val="20"/>
                <w:szCs w:val="20"/>
                <w:color w:val="auto"/>
              </w:rPr>
            </w:pPr>
            <w:r>
              <w:rPr>
                <w:rFonts w:ascii="Arial" w:cs="Arial" w:eastAsia="Arial" w:hAnsi="Arial"/>
                <w:sz w:val="18"/>
                <w:szCs w:val="18"/>
                <w:color w:val="auto"/>
              </w:rPr>
              <w:t>Condensed Consolidated Balance Sheets at</w:t>
            </w:r>
          </w:p>
        </w:tc>
        <w:tc>
          <w:tcPr>
            <w:tcW w:w="360" w:type="dxa"/>
            <w:vAlign w:val="bottom"/>
            <w:shd w:val="clear" w:color="auto" w:fill="C0C0C0"/>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680" w:type="dxa"/>
            <w:vAlign w:val="bottom"/>
            <w:shd w:val="clear" w:color="auto" w:fill="C0C0C0"/>
          </w:tcPr>
          <w:p>
            <w:pPr>
              <w:spacing w:after="0"/>
              <w:rPr>
                <w:sz w:val="22"/>
                <w:szCs w:val="22"/>
                <w:color w:val="auto"/>
              </w:rPr>
            </w:pPr>
          </w:p>
        </w:tc>
        <w:tc>
          <w:tcPr>
            <w:tcW w:w="260" w:type="dxa"/>
            <w:vAlign w:val="bottom"/>
            <w:shd w:val="clear" w:color="auto" w:fill="C0C0C0"/>
          </w:tcPr>
          <w:p>
            <w:pPr>
              <w:spacing w:after="0"/>
              <w:rPr>
                <w:sz w:val="22"/>
                <w:szCs w:val="22"/>
                <w:color w:val="auto"/>
              </w:rPr>
            </w:pPr>
          </w:p>
        </w:tc>
        <w:tc>
          <w:tcPr>
            <w:tcW w:w="10100" w:type="dxa"/>
            <w:vAlign w:val="bottom"/>
            <w:shd w:val="clear" w:color="auto" w:fill="C0C0C0"/>
          </w:tcPr>
          <w:p>
            <w:pPr>
              <w:spacing w:after="0"/>
              <w:rPr>
                <w:sz w:val="20"/>
                <w:szCs w:val="20"/>
                <w:color w:val="auto"/>
              </w:rPr>
            </w:pPr>
            <w:r>
              <w:rPr>
                <w:rFonts w:ascii="Arial" w:cs="Arial" w:eastAsia="Arial" w:hAnsi="Arial"/>
                <w:sz w:val="18"/>
                <w:szCs w:val="18"/>
                <w:color w:val="auto"/>
              </w:rPr>
              <w:t>January 30, 2011, and October 31, 2010</w:t>
            </w:r>
          </w:p>
        </w:tc>
        <w:tc>
          <w:tcPr>
            <w:tcW w:w="3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shd w:val="clear" w:color="auto" w:fill="C0C0C0"/>
          </w:tcPr>
          <w:p>
            <w:pPr>
              <w:spacing w:after="0"/>
              <w:rPr>
                <w:sz w:val="19"/>
                <w:szCs w:val="19"/>
                <w:color w:val="auto"/>
              </w:rPr>
            </w:pPr>
          </w:p>
        </w:tc>
        <w:tc>
          <w:tcPr>
            <w:tcW w:w="260" w:type="dxa"/>
            <w:vAlign w:val="bottom"/>
            <w:shd w:val="clear" w:color="auto" w:fill="C0C0C0"/>
          </w:tcPr>
          <w:p>
            <w:pPr>
              <w:spacing w:after="0"/>
              <w:rPr>
                <w:sz w:val="19"/>
                <w:szCs w:val="19"/>
                <w:color w:val="auto"/>
              </w:rPr>
            </w:pPr>
          </w:p>
        </w:tc>
        <w:tc>
          <w:tcPr>
            <w:tcW w:w="10100" w:type="dxa"/>
            <w:vAlign w:val="bottom"/>
            <w:shd w:val="clear" w:color="auto" w:fill="C0C0C0"/>
          </w:tcPr>
          <w:p>
            <w:pPr>
              <w:spacing w:after="0"/>
              <w:rPr>
                <w:sz w:val="20"/>
                <w:szCs w:val="20"/>
                <w:color w:val="auto"/>
              </w:rPr>
            </w:pPr>
            <w:r>
              <w:rPr>
                <w:rFonts w:ascii="Arial" w:cs="Arial" w:eastAsia="Arial" w:hAnsi="Arial"/>
                <w:sz w:val="18"/>
                <w:szCs w:val="18"/>
                <w:color w:val="auto"/>
              </w:rPr>
              <w:t>Condensed Consolidated Statements of Income</w:t>
            </w:r>
          </w:p>
        </w:tc>
        <w:tc>
          <w:tcPr>
            <w:tcW w:w="360" w:type="dxa"/>
            <w:vAlign w:val="bottom"/>
            <w:shd w:val="clear" w:color="auto" w:fill="C0C0C0"/>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8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0100" w:type="dxa"/>
            <w:vAlign w:val="bottom"/>
            <w:shd w:val="clear" w:color="auto" w:fill="C0C0C0"/>
          </w:tcPr>
          <w:p>
            <w:pPr>
              <w:spacing w:after="0"/>
              <w:rPr>
                <w:sz w:val="20"/>
                <w:szCs w:val="20"/>
                <w:color w:val="auto"/>
              </w:rPr>
            </w:pPr>
            <w:r>
              <w:rPr>
                <w:rFonts w:ascii="Arial" w:cs="Arial" w:eastAsia="Arial" w:hAnsi="Arial"/>
                <w:sz w:val="18"/>
                <w:szCs w:val="18"/>
                <w:color w:val="auto"/>
              </w:rPr>
              <w:t>for the Three Months Ended</w:t>
            </w:r>
          </w:p>
        </w:tc>
        <w:tc>
          <w:tcPr>
            <w:tcW w:w="36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680" w:type="dxa"/>
            <w:vAlign w:val="bottom"/>
            <w:shd w:val="clear" w:color="auto" w:fill="C0C0C0"/>
          </w:tcPr>
          <w:p>
            <w:pPr>
              <w:spacing w:after="0"/>
              <w:rPr>
                <w:sz w:val="22"/>
                <w:szCs w:val="22"/>
                <w:color w:val="auto"/>
              </w:rPr>
            </w:pPr>
          </w:p>
        </w:tc>
        <w:tc>
          <w:tcPr>
            <w:tcW w:w="260" w:type="dxa"/>
            <w:vAlign w:val="bottom"/>
            <w:shd w:val="clear" w:color="auto" w:fill="C0C0C0"/>
          </w:tcPr>
          <w:p>
            <w:pPr>
              <w:spacing w:after="0"/>
              <w:rPr>
                <w:sz w:val="22"/>
                <w:szCs w:val="22"/>
                <w:color w:val="auto"/>
              </w:rPr>
            </w:pPr>
          </w:p>
        </w:tc>
        <w:tc>
          <w:tcPr>
            <w:tcW w:w="10100" w:type="dxa"/>
            <w:vAlign w:val="bottom"/>
            <w:shd w:val="clear" w:color="auto" w:fill="C0C0C0"/>
          </w:tcPr>
          <w:p>
            <w:pPr>
              <w:spacing w:after="0"/>
              <w:rPr>
                <w:sz w:val="20"/>
                <w:szCs w:val="20"/>
                <w:color w:val="auto"/>
              </w:rPr>
            </w:pPr>
            <w:r>
              <w:rPr>
                <w:rFonts w:ascii="Arial" w:cs="Arial" w:eastAsia="Arial" w:hAnsi="Arial"/>
                <w:sz w:val="18"/>
                <w:szCs w:val="18"/>
                <w:color w:val="auto"/>
              </w:rPr>
              <w:t>January 30, 2011, and January 31, 2010</w:t>
            </w:r>
          </w:p>
        </w:tc>
        <w:tc>
          <w:tcPr>
            <w:tcW w:w="3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shd w:val="clear" w:color="auto" w:fill="C0C0C0"/>
          </w:tcPr>
          <w:p>
            <w:pPr>
              <w:spacing w:after="0"/>
              <w:rPr>
                <w:sz w:val="19"/>
                <w:szCs w:val="19"/>
                <w:color w:val="auto"/>
              </w:rPr>
            </w:pPr>
          </w:p>
        </w:tc>
        <w:tc>
          <w:tcPr>
            <w:tcW w:w="260" w:type="dxa"/>
            <w:vAlign w:val="bottom"/>
            <w:shd w:val="clear" w:color="auto" w:fill="C0C0C0"/>
          </w:tcPr>
          <w:p>
            <w:pPr>
              <w:spacing w:after="0"/>
              <w:rPr>
                <w:sz w:val="19"/>
                <w:szCs w:val="19"/>
                <w:color w:val="auto"/>
              </w:rPr>
            </w:pPr>
          </w:p>
        </w:tc>
        <w:tc>
          <w:tcPr>
            <w:tcW w:w="10100" w:type="dxa"/>
            <w:vAlign w:val="bottom"/>
            <w:shd w:val="clear" w:color="auto" w:fill="C0C0C0"/>
          </w:tcPr>
          <w:p>
            <w:pPr>
              <w:spacing w:after="0"/>
              <w:rPr>
                <w:sz w:val="20"/>
                <w:szCs w:val="20"/>
                <w:color w:val="auto"/>
              </w:rPr>
            </w:pPr>
            <w:r>
              <w:rPr>
                <w:rFonts w:ascii="Arial" w:cs="Arial" w:eastAsia="Arial" w:hAnsi="Arial"/>
                <w:sz w:val="18"/>
                <w:szCs w:val="18"/>
                <w:color w:val="auto"/>
              </w:rPr>
              <w:t>Condensed Consolidated Statements of Cash Flows</w:t>
            </w:r>
          </w:p>
        </w:tc>
        <w:tc>
          <w:tcPr>
            <w:tcW w:w="360" w:type="dxa"/>
            <w:vAlign w:val="bottom"/>
            <w:shd w:val="clear" w:color="auto" w:fill="C0C0C0"/>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8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0100" w:type="dxa"/>
            <w:vAlign w:val="bottom"/>
            <w:shd w:val="clear" w:color="auto" w:fill="C0C0C0"/>
          </w:tcPr>
          <w:p>
            <w:pPr>
              <w:spacing w:after="0"/>
              <w:rPr>
                <w:sz w:val="20"/>
                <w:szCs w:val="20"/>
                <w:color w:val="auto"/>
              </w:rPr>
            </w:pPr>
            <w:r>
              <w:rPr>
                <w:rFonts w:ascii="Arial" w:cs="Arial" w:eastAsia="Arial" w:hAnsi="Arial"/>
                <w:sz w:val="18"/>
                <w:szCs w:val="18"/>
                <w:color w:val="auto"/>
              </w:rPr>
              <w:t>for the Three Months Ended</w:t>
            </w:r>
          </w:p>
        </w:tc>
        <w:tc>
          <w:tcPr>
            <w:tcW w:w="36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680" w:type="dxa"/>
            <w:vAlign w:val="bottom"/>
            <w:shd w:val="clear" w:color="auto" w:fill="C0C0C0"/>
          </w:tcPr>
          <w:p>
            <w:pPr>
              <w:spacing w:after="0"/>
              <w:rPr>
                <w:sz w:val="22"/>
                <w:szCs w:val="22"/>
                <w:color w:val="auto"/>
              </w:rPr>
            </w:pPr>
          </w:p>
        </w:tc>
        <w:tc>
          <w:tcPr>
            <w:tcW w:w="260" w:type="dxa"/>
            <w:vAlign w:val="bottom"/>
            <w:shd w:val="clear" w:color="auto" w:fill="C0C0C0"/>
          </w:tcPr>
          <w:p>
            <w:pPr>
              <w:spacing w:after="0"/>
              <w:rPr>
                <w:sz w:val="22"/>
                <w:szCs w:val="22"/>
                <w:color w:val="auto"/>
              </w:rPr>
            </w:pPr>
          </w:p>
        </w:tc>
        <w:tc>
          <w:tcPr>
            <w:tcW w:w="10100" w:type="dxa"/>
            <w:vAlign w:val="bottom"/>
            <w:shd w:val="clear" w:color="auto" w:fill="C0C0C0"/>
          </w:tcPr>
          <w:p>
            <w:pPr>
              <w:spacing w:after="0"/>
              <w:rPr>
                <w:sz w:val="20"/>
                <w:szCs w:val="20"/>
                <w:color w:val="auto"/>
              </w:rPr>
            </w:pPr>
            <w:r>
              <w:rPr>
                <w:rFonts w:ascii="Arial" w:cs="Arial" w:eastAsia="Arial" w:hAnsi="Arial"/>
                <w:sz w:val="18"/>
                <w:szCs w:val="18"/>
                <w:color w:val="auto"/>
              </w:rPr>
              <w:t>January 30, 2011, and January 31, 2010</w:t>
            </w:r>
          </w:p>
        </w:tc>
        <w:tc>
          <w:tcPr>
            <w:tcW w:w="3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100" w:type="dxa"/>
            <w:vAlign w:val="bottom"/>
          </w:tcPr>
          <w:p>
            <w:pPr>
              <w:spacing w:after="0"/>
              <w:rPr>
                <w:sz w:val="21"/>
                <w:szCs w:val="21"/>
                <w:color w:val="auto"/>
              </w:rPr>
            </w:pPr>
          </w:p>
        </w:tc>
        <w:tc>
          <w:tcPr>
            <w:tcW w:w="38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8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0100" w:type="dxa"/>
            <w:vAlign w:val="bottom"/>
            <w:shd w:val="clear" w:color="auto" w:fill="C0C0C0"/>
          </w:tcPr>
          <w:p>
            <w:pPr>
              <w:spacing w:after="0"/>
              <w:rPr>
                <w:sz w:val="20"/>
                <w:szCs w:val="20"/>
                <w:color w:val="auto"/>
              </w:rPr>
            </w:pPr>
            <w:r>
              <w:rPr>
                <w:rFonts w:ascii="Arial" w:cs="Arial" w:eastAsia="Arial" w:hAnsi="Arial"/>
                <w:sz w:val="18"/>
                <w:szCs w:val="18"/>
                <w:color w:val="auto"/>
              </w:rPr>
              <w:t>Notes to Condensed Consolidated Financial Statements</w:t>
            </w:r>
          </w:p>
        </w:tc>
        <w:tc>
          <w:tcPr>
            <w:tcW w:w="3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0" w:type="dxa"/>
            <w:vAlign w:val="bottom"/>
            <w:gridSpan w:val="2"/>
          </w:tcPr>
          <w:p>
            <w:pPr>
              <w:spacing w:after="0"/>
              <w:rPr>
                <w:sz w:val="21"/>
                <w:szCs w:val="21"/>
                <w:color w:val="auto"/>
              </w:rPr>
            </w:pPr>
          </w:p>
        </w:tc>
        <w:tc>
          <w:tcPr>
            <w:tcW w:w="260" w:type="dxa"/>
            <w:vAlign w:val="bottom"/>
          </w:tcPr>
          <w:p>
            <w:pPr>
              <w:spacing w:after="0"/>
              <w:rPr>
                <w:sz w:val="21"/>
                <w:szCs w:val="21"/>
                <w:color w:val="auto"/>
              </w:rPr>
            </w:pPr>
          </w:p>
        </w:tc>
        <w:tc>
          <w:tcPr>
            <w:tcW w:w="10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shd w:val="clear" w:color="auto" w:fill="C0C0C0"/>
          </w:tcPr>
          <w:p>
            <w:pPr>
              <w:spacing w:after="0"/>
              <w:rPr>
                <w:sz w:val="20"/>
                <w:szCs w:val="20"/>
                <w:color w:val="auto"/>
              </w:rPr>
            </w:pPr>
            <w:r>
              <w:rPr>
                <w:rFonts w:ascii="Arial" w:cs="Arial" w:eastAsia="Arial" w:hAnsi="Arial"/>
                <w:sz w:val="18"/>
                <w:szCs w:val="18"/>
                <w:color w:val="auto"/>
              </w:rPr>
              <w:t>Item 2.</w:t>
            </w:r>
          </w:p>
        </w:tc>
        <w:tc>
          <w:tcPr>
            <w:tcW w:w="260" w:type="dxa"/>
            <w:vAlign w:val="bottom"/>
            <w:shd w:val="clear" w:color="auto" w:fill="C0C0C0"/>
          </w:tcPr>
          <w:p>
            <w:pPr>
              <w:spacing w:after="0"/>
              <w:rPr>
                <w:sz w:val="19"/>
                <w:szCs w:val="19"/>
                <w:color w:val="auto"/>
              </w:rPr>
            </w:pPr>
          </w:p>
        </w:tc>
        <w:tc>
          <w:tcPr>
            <w:tcW w:w="10100" w:type="dxa"/>
            <w:vAlign w:val="bottom"/>
            <w:shd w:val="clear" w:color="auto" w:fill="C0C0C0"/>
          </w:tcPr>
          <w:p>
            <w:pPr>
              <w:spacing w:after="0"/>
              <w:rPr>
                <w:sz w:val="20"/>
                <w:szCs w:val="20"/>
                <w:color w:val="auto"/>
              </w:rPr>
            </w:pPr>
            <w:r>
              <w:rPr>
                <w:rFonts w:ascii="Arial" w:cs="Arial" w:eastAsia="Arial" w:hAnsi="Arial"/>
                <w:sz w:val="18"/>
                <w:szCs w:val="18"/>
                <w:color w:val="auto"/>
              </w:rPr>
              <w:t>Management's Discussion and Analysis</w:t>
            </w:r>
          </w:p>
        </w:tc>
        <w:tc>
          <w:tcPr>
            <w:tcW w:w="360" w:type="dxa"/>
            <w:vAlign w:val="bottom"/>
            <w:shd w:val="clear" w:color="auto" w:fill="C0C0C0"/>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680" w:type="dxa"/>
            <w:vAlign w:val="bottom"/>
            <w:shd w:val="clear" w:color="auto" w:fill="C0C0C0"/>
          </w:tcPr>
          <w:p>
            <w:pPr>
              <w:spacing w:after="0"/>
              <w:rPr>
                <w:sz w:val="22"/>
                <w:szCs w:val="22"/>
                <w:color w:val="auto"/>
              </w:rPr>
            </w:pPr>
          </w:p>
        </w:tc>
        <w:tc>
          <w:tcPr>
            <w:tcW w:w="260" w:type="dxa"/>
            <w:vAlign w:val="bottom"/>
            <w:shd w:val="clear" w:color="auto" w:fill="C0C0C0"/>
          </w:tcPr>
          <w:p>
            <w:pPr>
              <w:spacing w:after="0"/>
              <w:rPr>
                <w:sz w:val="22"/>
                <w:szCs w:val="22"/>
                <w:color w:val="auto"/>
              </w:rPr>
            </w:pPr>
          </w:p>
        </w:tc>
        <w:tc>
          <w:tcPr>
            <w:tcW w:w="10100" w:type="dxa"/>
            <w:vAlign w:val="bottom"/>
            <w:shd w:val="clear" w:color="auto" w:fill="C0C0C0"/>
          </w:tcPr>
          <w:p>
            <w:pPr>
              <w:spacing w:after="0"/>
              <w:rPr>
                <w:sz w:val="20"/>
                <w:szCs w:val="20"/>
                <w:color w:val="auto"/>
              </w:rPr>
            </w:pPr>
            <w:r>
              <w:rPr>
                <w:rFonts w:ascii="Arial" w:cs="Arial" w:eastAsia="Arial" w:hAnsi="Arial"/>
                <w:sz w:val="18"/>
                <w:szCs w:val="18"/>
                <w:color w:val="auto"/>
              </w:rPr>
              <w:t>of Financial Condition and Results of Operations</w:t>
            </w:r>
          </w:p>
        </w:tc>
        <w:tc>
          <w:tcPr>
            <w:tcW w:w="3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00" w:type="dxa"/>
            <w:vAlign w:val="bottom"/>
            <w:gridSpan w:val="2"/>
          </w:tcPr>
          <w:p>
            <w:pPr>
              <w:spacing w:after="0"/>
              <w:rPr>
                <w:sz w:val="21"/>
                <w:szCs w:val="21"/>
                <w:color w:val="auto"/>
              </w:rPr>
            </w:pPr>
          </w:p>
        </w:tc>
        <w:tc>
          <w:tcPr>
            <w:tcW w:w="260" w:type="dxa"/>
            <w:vAlign w:val="bottom"/>
          </w:tcPr>
          <w:p>
            <w:pPr>
              <w:spacing w:after="0"/>
              <w:rPr>
                <w:sz w:val="21"/>
                <w:szCs w:val="21"/>
                <w:color w:val="auto"/>
              </w:rPr>
            </w:pPr>
          </w:p>
        </w:tc>
        <w:tc>
          <w:tcPr>
            <w:tcW w:w="10100" w:type="dxa"/>
            <w:vAlign w:val="bottom"/>
          </w:tcPr>
          <w:p>
            <w:pPr>
              <w:spacing w:after="0"/>
              <w:rPr>
                <w:sz w:val="21"/>
                <w:szCs w:val="21"/>
                <w:color w:val="auto"/>
              </w:rPr>
            </w:pPr>
          </w:p>
        </w:tc>
        <w:tc>
          <w:tcPr>
            <w:tcW w:w="38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80" w:type="dxa"/>
            <w:vAlign w:val="bottom"/>
            <w:shd w:val="clear" w:color="auto" w:fill="C0C0C0"/>
          </w:tcPr>
          <w:p>
            <w:pPr>
              <w:spacing w:after="0"/>
              <w:rPr>
                <w:sz w:val="20"/>
                <w:szCs w:val="20"/>
                <w:color w:val="auto"/>
              </w:rPr>
            </w:pPr>
            <w:r>
              <w:rPr>
                <w:rFonts w:ascii="Arial" w:cs="Arial" w:eastAsia="Arial" w:hAnsi="Arial"/>
                <w:sz w:val="18"/>
                <w:szCs w:val="18"/>
                <w:color w:val="auto"/>
              </w:rPr>
              <w:t>Item 3.</w:t>
            </w:r>
          </w:p>
        </w:tc>
        <w:tc>
          <w:tcPr>
            <w:tcW w:w="260" w:type="dxa"/>
            <w:vAlign w:val="bottom"/>
            <w:shd w:val="clear" w:color="auto" w:fill="C0C0C0"/>
          </w:tcPr>
          <w:p>
            <w:pPr>
              <w:spacing w:after="0"/>
              <w:rPr>
                <w:sz w:val="21"/>
                <w:szCs w:val="21"/>
                <w:color w:val="auto"/>
              </w:rPr>
            </w:pPr>
          </w:p>
        </w:tc>
        <w:tc>
          <w:tcPr>
            <w:tcW w:w="10100" w:type="dxa"/>
            <w:vAlign w:val="bottom"/>
            <w:shd w:val="clear" w:color="auto" w:fill="C0C0C0"/>
          </w:tcPr>
          <w:p>
            <w:pPr>
              <w:spacing w:after="0"/>
              <w:rPr>
                <w:sz w:val="20"/>
                <w:szCs w:val="20"/>
                <w:color w:val="auto"/>
              </w:rPr>
            </w:pPr>
            <w:r>
              <w:rPr>
                <w:rFonts w:ascii="Arial" w:cs="Arial" w:eastAsia="Arial" w:hAnsi="Arial"/>
                <w:sz w:val="18"/>
                <w:szCs w:val="18"/>
                <w:color w:val="auto"/>
              </w:rPr>
              <w:t>Quantitative and Qualitative Disclosures about Market Risk</w:t>
            </w:r>
          </w:p>
        </w:tc>
        <w:tc>
          <w:tcPr>
            <w:tcW w:w="3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0" w:type="dxa"/>
            <w:vAlign w:val="bottom"/>
            <w:gridSpan w:val="2"/>
          </w:tcPr>
          <w:p>
            <w:pPr>
              <w:spacing w:after="0"/>
              <w:rPr>
                <w:sz w:val="21"/>
                <w:szCs w:val="21"/>
                <w:color w:val="auto"/>
              </w:rPr>
            </w:pPr>
          </w:p>
        </w:tc>
        <w:tc>
          <w:tcPr>
            <w:tcW w:w="260" w:type="dxa"/>
            <w:vAlign w:val="bottom"/>
          </w:tcPr>
          <w:p>
            <w:pPr>
              <w:spacing w:after="0"/>
              <w:rPr>
                <w:sz w:val="21"/>
                <w:szCs w:val="21"/>
                <w:color w:val="auto"/>
              </w:rPr>
            </w:pPr>
          </w:p>
        </w:tc>
        <w:tc>
          <w:tcPr>
            <w:tcW w:w="10100" w:type="dxa"/>
            <w:vAlign w:val="bottom"/>
          </w:tcPr>
          <w:p>
            <w:pPr>
              <w:spacing w:after="0"/>
              <w:rPr>
                <w:sz w:val="21"/>
                <w:szCs w:val="21"/>
                <w:color w:val="auto"/>
              </w:rPr>
            </w:pPr>
          </w:p>
        </w:tc>
        <w:tc>
          <w:tcPr>
            <w:tcW w:w="38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80" w:type="dxa"/>
            <w:vAlign w:val="bottom"/>
            <w:shd w:val="clear" w:color="auto" w:fill="C0C0C0"/>
          </w:tcPr>
          <w:p>
            <w:pPr>
              <w:spacing w:after="0"/>
              <w:rPr>
                <w:sz w:val="20"/>
                <w:szCs w:val="20"/>
                <w:color w:val="auto"/>
              </w:rPr>
            </w:pPr>
            <w:r>
              <w:rPr>
                <w:rFonts w:ascii="Arial" w:cs="Arial" w:eastAsia="Arial" w:hAnsi="Arial"/>
                <w:sz w:val="18"/>
                <w:szCs w:val="18"/>
                <w:color w:val="auto"/>
              </w:rPr>
              <w:t>Item 4.</w:t>
            </w:r>
          </w:p>
        </w:tc>
        <w:tc>
          <w:tcPr>
            <w:tcW w:w="260" w:type="dxa"/>
            <w:vAlign w:val="bottom"/>
            <w:shd w:val="clear" w:color="auto" w:fill="C0C0C0"/>
          </w:tcPr>
          <w:p>
            <w:pPr>
              <w:spacing w:after="0"/>
              <w:rPr>
                <w:sz w:val="21"/>
                <w:szCs w:val="21"/>
                <w:color w:val="auto"/>
              </w:rPr>
            </w:pPr>
          </w:p>
        </w:tc>
        <w:tc>
          <w:tcPr>
            <w:tcW w:w="10100" w:type="dxa"/>
            <w:vAlign w:val="bottom"/>
            <w:shd w:val="clear" w:color="auto" w:fill="C0C0C0"/>
          </w:tcPr>
          <w:p>
            <w:pPr>
              <w:spacing w:after="0"/>
              <w:rPr>
                <w:sz w:val="20"/>
                <w:szCs w:val="20"/>
                <w:color w:val="auto"/>
              </w:rPr>
            </w:pPr>
            <w:r>
              <w:rPr>
                <w:rFonts w:ascii="Arial" w:cs="Arial" w:eastAsia="Arial" w:hAnsi="Arial"/>
                <w:sz w:val="18"/>
                <w:szCs w:val="18"/>
                <w:color w:val="auto"/>
              </w:rPr>
              <w:t>Controls and Procedures</w:t>
            </w:r>
          </w:p>
        </w:tc>
        <w:tc>
          <w:tcPr>
            <w:tcW w:w="3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80" w:type="dxa"/>
            <w:vAlign w:val="bottom"/>
            <w:shd w:val="clear" w:color="auto" w:fill="C0C0C0"/>
          </w:tcPr>
          <w:p>
            <w:pPr>
              <w:spacing w:after="0"/>
              <w:rPr>
                <w:sz w:val="20"/>
                <w:szCs w:val="20"/>
                <w:color w:val="auto"/>
              </w:rPr>
            </w:pPr>
            <w:r>
              <w:rPr>
                <w:rFonts w:ascii="Arial" w:cs="Arial" w:eastAsia="Arial" w:hAnsi="Arial"/>
                <w:sz w:val="18"/>
                <w:szCs w:val="18"/>
                <w:b w:val="1"/>
                <w:bCs w:val="1"/>
                <w:color w:val="auto"/>
                <w:w w:val="95"/>
              </w:rPr>
              <w:t>PART II.</w:t>
            </w:r>
          </w:p>
        </w:tc>
        <w:tc>
          <w:tcPr>
            <w:tcW w:w="260" w:type="dxa"/>
            <w:vAlign w:val="bottom"/>
            <w:shd w:val="clear" w:color="auto" w:fill="C0C0C0"/>
          </w:tcPr>
          <w:p>
            <w:pPr>
              <w:spacing w:after="0"/>
              <w:rPr>
                <w:sz w:val="21"/>
                <w:szCs w:val="21"/>
                <w:color w:val="auto"/>
              </w:rPr>
            </w:pPr>
          </w:p>
        </w:tc>
        <w:tc>
          <w:tcPr>
            <w:tcW w:w="10100" w:type="dxa"/>
            <w:vAlign w:val="bottom"/>
            <w:shd w:val="clear" w:color="auto" w:fill="C0C0C0"/>
          </w:tcPr>
          <w:p>
            <w:pPr>
              <w:spacing w:after="0"/>
              <w:rPr>
                <w:sz w:val="20"/>
                <w:szCs w:val="20"/>
                <w:color w:val="auto"/>
              </w:rPr>
            </w:pPr>
            <w:r>
              <w:rPr>
                <w:rFonts w:ascii="Arial" w:cs="Arial" w:eastAsia="Arial" w:hAnsi="Arial"/>
                <w:sz w:val="18"/>
                <w:szCs w:val="18"/>
                <w:b w:val="1"/>
                <w:bCs w:val="1"/>
                <w:color w:val="auto"/>
              </w:rPr>
              <w:t>OTHER INFORMATION</w:t>
            </w:r>
          </w:p>
        </w:tc>
        <w:tc>
          <w:tcPr>
            <w:tcW w:w="36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0" w:type="dxa"/>
            <w:vAlign w:val="bottom"/>
            <w:gridSpan w:val="2"/>
          </w:tcPr>
          <w:p>
            <w:pPr>
              <w:spacing w:after="0"/>
              <w:rPr>
                <w:sz w:val="21"/>
                <w:szCs w:val="21"/>
                <w:color w:val="auto"/>
              </w:rPr>
            </w:pPr>
          </w:p>
        </w:tc>
        <w:tc>
          <w:tcPr>
            <w:tcW w:w="260" w:type="dxa"/>
            <w:vAlign w:val="bottom"/>
          </w:tcPr>
          <w:p>
            <w:pPr>
              <w:spacing w:after="0"/>
              <w:rPr>
                <w:sz w:val="21"/>
                <w:szCs w:val="21"/>
                <w:color w:val="auto"/>
              </w:rPr>
            </w:pPr>
          </w:p>
        </w:tc>
        <w:tc>
          <w:tcPr>
            <w:tcW w:w="10100" w:type="dxa"/>
            <w:vAlign w:val="bottom"/>
          </w:tcPr>
          <w:p>
            <w:pPr>
              <w:spacing w:after="0"/>
              <w:rPr>
                <w:sz w:val="21"/>
                <w:szCs w:val="21"/>
                <w:color w:val="auto"/>
              </w:rPr>
            </w:pPr>
          </w:p>
        </w:tc>
        <w:tc>
          <w:tcPr>
            <w:tcW w:w="38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80" w:type="dxa"/>
            <w:vAlign w:val="bottom"/>
            <w:shd w:val="clear" w:color="auto" w:fill="C0C0C0"/>
          </w:tcPr>
          <w:p>
            <w:pPr>
              <w:spacing w:after="0"/>
              <w:rPr>
                <w:sz w:val="20"/>
                <w:szCs w:val="20"/>
                <w:color w:val="auto"/>
              </w:rPr>
            </w:pPr>
            <w:r>
              <w:rPr>
                <w:rFonts w:ascii="Arial" w:cs="Arial" w:eastAsia="Arial" w:hAnsi="Arial"/>
                <w:sz w:val="18"/>
                <w:szCs w:val="18"/>
                <w:color w:val="auto"/>
                <w:w w:val="98"/>
              </w:rPr>
              <w:t>Item 1A.</w:t>
            </w:r>
          </w:p>
        </w:tc>
        <w:tc>
          <w:tcPr>
            <w:tcW w:w="260" w:type="dxa"/>
            <w:vAlign w:val="bottom"/>
            <w:shd w:val="clear" w:color="auto" w:fill="C0C0C0"/>
          </w:tcPr>
          <w:p>
            <w:pPr>
              <w:spacing w:after="0"/>
              <w:rPr>
                <w:sz w:val="21"/>
                <w:szCs w:val="21"/>
                <w:color w:val="auto"/>
              </w:rPr>
            </w:pPr>
          </w:p>
        </w:tc>
        <w:tc>
          <w:tcPr>
            <w:tcW w:w="10100" w:type="dxa"/>
            <w:vAlign w:val="bottom"/>
            <w:shd w:val="clear" w:color="auto" w:fill="C0C0C0"/>
          </w:tcPr>
          <w:p>
            <w:pPr>
              <w:spacing w:after="0"/>
              <w:rPr>
                <w:sz w:val="20"/>
                <w:szCs w:val="20"/>
                <w:color w:val="auto"/>
              </w:rPr>
            </w:pPr>
            <w:r>
              <w:rPr>
                <w:rFonts w:ascii="Arial" w:cs="Arial" w:eastAsia="Arial" w:hAnsi="Arial"/>
                <w:sz w:val="18"/>
                <w:szCs w:val="18"/>
                <w:color w:val="auto"/>
              </w:rPr>
              <w:t>Risk Factors</w:t>
            </w:r>
          </w:p>
        </w:tc>
        <w:tc>
          <w:tcPr>
            <w:tcW w:w="3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0" w:type="dxa"/>
            <w:vAlign w:val="bottom"/>
            <w:gridSpan w:val="2"/>
          </w:tcPr>
          <w:p>
            <w:pPr>
              <w:spacing w:after="0"/>
              <w:rPr>
                <w:sz w:val="21"/>
                <w:szCs w:val="21"/>
                <w:color w:val="auto"/>
              </w:rPr>
            </w:pPr>
          </w:p>
        </w:tc>
        <w:tc>
          <w:tcPr>
            <w:tcW w:w="260" w:type="dxa"/>
            <w:vAlign w:val="bottom"/>
          </w:tcPr>
          <w:p>
            <w:pPr>
              <w:spacing w:after="0"/>
              <w:rPr>
                <w:sz w:val="21"/>
                <w:szCs w:val="21"/>
                <w:color w:val="auto"/>
              </w:rPr>
            </w:pPr>
          </w:p>
        </w:tc>
        <w:tc>
          <w:tcPr>
            <w:tcW w:w="10100" w:type="dxa"/>
            <w:vAlign w:val="bottom"/>
          </w:tcPr>
          <w:p>
            <w:pPr>
              <w:spacing w:after="0"/>
              <w:rPr>
                <w:sz w:val="21"/>
                <w:szCs w:val="21"/>
                <w:color w:val="auto"/>
              </w:rPr>
            </w:pPr>
          </w:p>
        </w:tc>
        <w:tc>
          <w:tcPr>
            <w:tcW w:w="38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80" w:type="dxa"/>
            <w:vAlign w:val="bottom"/>
            <w:shd w:val="clear" w:color="auto" w:fill="C0C0C0"/>
          </w:tcPr>
          <w:p>
            <w:pPr>
              <w:spacing w:after="0"/>
              <w:rPr>
                <w:sz w:val="20"/>
                <w:szCs w:val="20"/>
                <w:color w:val="auto"/>
              </w:rPr>
            </w:pPr>
            <w:r>
              <w:rPr>
                <w:rFonts w:ascii="Arial" w:cs="Arial" w:eastAsia="Arial" w:hAnsi="Arial"/>
                <w:sz w:val="18"/>
                <w:szCs w:val="18"/>
                <w:color w:val="auto"/>
              </w:rPr>
              <w:t>Item 6.</w:t>
            </w:r>
          </w:p>
        </w:tc>
        <w:tc>
          <w:tcPr>
            <w:tcW w:w="260" w:type="dxa"/>
            <w:vAlign w:val="bottom"/>
            <w:shd w:val="clear" w:color="auto" w:fill="C0C0C0"/>
          </w:tcPr>
          <w:p>
            <w:pPr>
              <w:spacing w:after="0"/>
              <w:rPr>
                <w:sz w:val="21"/>
                <w:szCs w:val="21"/>
                <w:color w:val="auto"/>
              </w:rPr>
            </w:pPr>
          </w:p>
        </w:tc>
        <w:tc>
          <w:tcPr>
            <w:tcW w:w="10100" w:type="dxa"/>
            <w:vAlign w:val="bottom"/>
            <w:shd w:val="clear" w:color="auto" w:fill="C0C0C0"/>
          </w:tcPr>
          <w:p>
            <w:pPr>
              <w:spacing w:after="0"/>
              <w:rPr>
                <w:sz w:val="20"/>
                <w:szCs w:val="20"/>
                <w:color w:val="auto"/>
              </w:rPr>
            </w:pPr>
            <w:r>
              <w:rPr>
                <w:rFonts w:ascii="Arial" w:cs="Arial" w:eastAsia="Arial" w:hAnsi="Arial"/>
                <w:sz w:val="18"/>
                <w:szCs w:val="18"/>
                <w:color w:val="auto"/>
              </w:rPr>
              <w:t>Exhibits</w:t>
            </w:r>
          </w:p>
        </w:tc>
        <w:tc>
          <w:tcPr>
            <w:tcW w:w="3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7"/>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360" w:type="dxa"/>
            <w:vAlign w:val="bottom"/>
            <w:gridSpan w:val="2"/>
          </w:tcPr>
          <w:p>
            <w:pPr>
              <w:jc w:val="center"/>
              <w:ind w:right="232"/>
              <w:spacing w:after="0"/>
              <w:rPr>
                <w:sz w:val="20"/>
                <w:szCs w:val="20"/>
                <w:color w:val="auto"/>
              </w:rPr>
            </w:pPr>
            <w:r>
              <w:rPr>
                <w:rFonts w:ascii="Arial" w:cs="Arial" w:eastAsia="Arial" w:hAnsi="Arial"/>
                <w:sz w:val="18"/>
                <w:szCs w:val="18"/>
                <w:color w:val="auto"/>
                <w:w w:val="79"/>
              </w:rPr>
              <w:t>3</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010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611" w:right="2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8"/>
        </w:trPr>
        <w:tc>
          <w:tcPr>
            <w:tcW w:w="8900" w:type="dxa"/>
            <w:vAlign w:val="bottom"/>
            <w:gridSpan w:val="2"/>
          </w:tcPr>
          <w:p>
            <w:pPr>
              <w:spacing w:after="0"/>
              <w:rPr>
                <w:sz w:val="20"/>
                <w:szCs w:val="20"/>
                <w:color w:val="auto"/>
              </w:rPr>
            </w:pPr>
            <w:r>
              <w:rPr>
                <w:rFonts w:ascii="Arial" w:cs="Arial" w:eastAsia="Arial" w:hAnsi="Arial"/>
                <w:sz w:val="18"/>
                <w:szCs w:val="18"/>
                <w:b w:val="1"/>
                <w:bCs w:val="1"/>
                <w:color w:val="auto"/>
              </w:rPr>
              <w:t>PART I. FINANCIAL INFORMATION</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8900" w:type="dxa"/>
            <w:vAlign w:val="bottom"/>
            <w:gridSpan w:val="2"/>
          </w:tcPr>
          <w:p>
            <w:pPr>
              <w:spacing w:after="0"/>
              <w:rPr>
                <w:sz w:val="20"/>
                <w:szCs w:val="20"/>
                <w:color w:val="auto"/>
              </w:rPr>
            </w:pPr>
            <w:r>
              <w:rPr>
                <w:rFonts w:ascii="Arial" w:cs="Arial" w:eastAsia="Arial" w:hAnsi="Arial"/>
                <w:sz w:val="18"/>
                <w:szCs w:val="18"/>
                <w:b w:val="1"/>
                <w:bCs w:val="1"/>
                <w:color w:val="auto"/>
              </w:rPr>
              <w:t>Item 1. CONDENSED CONSOLIDATED FINANCIAL STATEMENTS</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8880" w:type="dxa"/>
            <w:vAlign w:val="bottom"/>
          </w:tcPr>
          <w:p>
            <w:pPr>
              <w:jc w:val="center"/>
              <w:ind w:left="2412"/>
              <w:spacing w:after="0"/>
              <w:rPr>
                <w:sz w:val="20"/>
                <w:szCs w:val="20"/>
                <w:color w:val="auto"/>
              </w:rPr>
            </w:pPr>
            <w:r>
              <w:rPr>
                <w:rFonts w:ascii="Arial" w:cs="Arial" w:eastAsia="Arial" w:hAnsi="Arial"/>
                <w:sz w:val="18"/>
                <w:szCs w:val="18"/>
                <w:b w:val="1"/>
                <w:bCs w:val="1"/>
                <w:color w:val="auto"/>
                <w:w w:val="97"/>
              </w:rPr>
              <w:t>PHOTRONICS, INC. AND SUBSIDIARIES</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jc w:val="center"/>
              <w:ind w:left="2412"/>
              <w:spacing w:after="0"/>
              <w:rPr>
                <w:sz w:val="20"/>
                <w:szCs w:val="20"/>
                <w:color w:val="auto"/>
              </w:rPr>
            </w:pPr>
            <w:r>
              <w:rPr>
                <w:rFonts w:ascii="Arial" w:cs="Arial" w:eastAsia="Arial" w:hAnsi="Arial"/>
                <w:sz w:val="18"/>
                <w:szCs w:val="18"/>
                <w:color w:val="auto"/>
                <w:w w:val="85"/>
              </w:rPr>
              <w:t>Condensed Consolidated Balance Sheets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80" w:type="dxa"/>
            <w:vAlign w:val="bottom"/>
          </w:tcPr>
          <w:p>
            <w:pPr>
              <w:jc w:val="center"/>
              <w:ind w:left="2412"/>
              <w:spacing w:after="0"/>
              <w:rPr>
                <w:sz w:val="20"/>
                <w:szCs w:val="20"/>
                <w:color w:val="auto"/>
              </w:rPr>
            </w:pPr>
            <w:r>
              <w:rPr>
                <w:rFonts w:ascii="Arial" w:cs="Arial" w:eastAsia="Arial" w:hAnsi="Arial"/>
                <w:sz w:val="18"/>
                <w:szCs w:val="18"/>
                <w:i w:val="1"/>
                <w:iCs w:val="1"/>
                <w:color w:val="auto"/>
                <w:w w:val="87"/>
              </w:rPr>
              <w:t>(in thousands, except per share amounts)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80" w:type="dxa"/>
            <w:vAlign w:val="bottom"/>
          </w:tcPr>
          <w:p>
            <w:pPr>
              <w:jc w:val="center"/>
              <w:ind w:left="2412"/>
              <w:spacing w:after="0"/>
              <w:rPr>
                <w:sz w:val="20"/>
                <w:szCs w:val="20"/>
                <w:color w:val="auto"/>
              </w:rPr>
            </w:pPr>
            <w:r>
              <w:rPr>
                <w:rFonts w:ascii="Arial" w:cs="Arial" w:eastAsia="Arial" w:hAnsi="Arial"/>
                <w:sz w:val="18"/>
                <w:szCs w:val="18"/>
                <w:i w:val="1"/>
                <w:iCs w:val="1"/>
                <w:color w:val="auto"/>
                <w:w w:val="90"/>
              </w:rPr>
              <w:t>(unaudited)</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3"/>
        </w:trPr>
        <w:tc>
          <w:tcPr>
            <w:tcW w:w="20" w:type="dxa"/>
            <w:vAlign w:val="bottom"/>
          </w:tcPr>
          <w:p>
            <w:pPr>
              <w:spacing w:after="0"/>
              <w:rPr>
                <w:sz w:val="24"/>
                <w:szCs w:val="24"/>
                <w:color w:val="auto"/>
              </w:rPr>
            </w:pPr>
          </w:p>
        </w:tc>
        <w:tc>
          <w:tcPr>
            <w:tcW w:w="8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gridSpan w:val="3"/>
          </w:tcPr>
          <w:p>
            <w:pPr>
              <w:ind w:left="20"/>
              <w:spacing w:after="0"/>
              <w:rPr>
                <w:sz w:val="20"/>
                <w:szCs w:val="20"/>
                <w:color w:val="auto"/>
              </w:rPr>
            </w:pPr>
            <w:r>
              <w:rPr>
                <w:rFonts w:ascii="Arial" w:cs="Arial" w:eastAsia="Arial" w:hAnsi="Arial"/>
                <w:sz w:val="18"/>
                <w:szCs w:val="18"/>
                <w:b w:val="1"/>
                <w:bCs w:val="1"/>
                <w:color w:val="auto"/>
              </w:rPr>
              <w:t>January 30,</w:t>
            </w: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October 31,</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8880" w:type="dxa"/>
            <w:vAlign w:val="bottom"/>
            <w:tcBorders>
              <w:bottom w:val="single" w:sz="8" w:color="C0C0C0"/>
            </w:tcBorders>
          </w:tcPr>
          <w:p>
            <w:pPr>
              <w:spacing w:after="0"/>
              <w:rPr>
                <w:sz w:val="21"/>
                <w:szCs w:val="21"/>
                <w:color w:val="auto"/>
              </w:rPr>
            </w:pPr>
          </w:p>
        </w:tc>
        <w:tc>
          <w:tcPr>
            <w:tcW w:w="280" w:type="dxa"/>
            <w:vAlign w:val="bottom"/>
            <w:tcBorders>
              <w:bottom w:val="single" w:sz="8" w:color="C0C0C0"/>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2011</w:t>
            </w:r>
          </w:p>
        </w:tc>
        <w:tc>
          <w:tcPr>
            <w:tcW w:w="280" w:type="dxa"/>
            <w:vAlign w:val="bottom"/>
            <w:tcBorders>
              <w:bottom w:val="single" w:sz="8" w:color="C0C0C0"/>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880" w:type="dxa"/>
            <w:vAlign w:val="bottom"/>
            <w:shd w:val="clear" w:color="auto" w:fill="C0C0C0"/>
          </w:tcPr>
          <w:p>
            <w:pPr>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74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820" w:type="dxa"/>
            <w:vAlign w:val="bottom"/>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89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880" w:type="dxa"/>
            <w:vAlign w:val="bottom"/>
            <w:shd w:val="clear" w:color="auto" w:fill="C0C0C0"/>
          </w:tcPr>
          <w:p>
            <w:pPr>
              <w:ind w:left="300"/>
              <w:spacing w:after="0"/>
              <w:rPr>
                <w:sz w:val="20"/>
                <w:szCs w:val="20"/>
                <w:color w:val="auto"/>
              </w:rPr>
            </w:pPr>
            <w:r>
              <w:rPr>
                <w:rFonts w:ascii="Arial" w:cs="Arial" w:eastAsia="Arial" w:hAnsi="Arial"/>
                <w:sz w:val="18"/>
                <w:szCs w:val="18"/>
                <w:color w:val="auto"/>
              </w:rPr>
              <w:t>Cash and cash equivalents</w:t>
            </w:r>
          </w:p>
        </w:tc>
        <w:tc>
          <w:tcPr>
            <w:tcW w:w="460" w:type="dxa"/>
            <w:vAlign w:val="bottom"/>
            <w:gridSpan w:val="2"/>
            <w:shd w:val="clear" w:color="auto" w:fill="C0C0C0"/>
          </w:tcPr>
          <w:p>
            <w:pPr>
              <w:ind w:left="2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0C0C0"/>
          </w:tcPr>
          <w:p>
            <w:pPr>
              <w:jc w:val="right"/>
              <w:ind w:right="260"/>
              <w:spacing w:after="0"/>
              <w:rPr>
                <w:sz w:val="20"/>
                <w:szCs w:val="20"/>
                <w:color w:val="auto"/>
              </w:rPr>
            </w:pPr>
            <w:r>
              <w:rPr>
                <w:rFonts w:ascii="Arial" w:cs="Arial" w:eastAsia="Arial" w:hAnsi="Arial"/>
                <w:sz w:val="18"/>
                <w:szCs w:val="18"/>
                <w:color w:val="auto"/>
              </w:rPr>
              <w:t>112,723</w:t>
            </w:r>
          </w:p>
        </w:tc>
        <w:tc>
          <w:tcPr>
            <w:tcW w:w="220" w:type="dxa"/>
            <w:vAlign w:val="bottom"/>
            <w:shd w:val="clear" w:color="auto" w:fill="C0C0C0"/>
          </w:tcPr>
          <w:p>
            <w:pPr>
              <w:jc w:val="right"/>
              <w:ind w:right="61"/>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98,945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880" w:type="dxa"/>
            <w:vAlign w:val="bottom"/>
          </w:tcPr>
          <w:p>
            <w:pPr>
              <w:ind w:left="300"/>
              <w:spacing w:after="0"/>
              <w:rPr>
                <w:sz w:val="20"/>
                <w:szCs w:val="20"/>
                <w:color w:val="auto"/>
              </w:rPr>
            </w:pPr>
            <w:r>
              <w:rPr>
                <w:rFonts w:ascii="Arial" w:cs="Arial" w:eastAsia="Arial" w:hAnsi="Arial"/>
                <w:sz w:val="18"/>
                <w:szCs w:val="18"/>
                <w:color w:val="auto"/>
              </w:rPr>
              <w:t>Accounts receivable, net of allowance of $4,477 in 2011</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880" w:type="dxa"/>
            <w:vAlign w:val="bottom"/>
          </w:tcPr>
          <w:p>
            <w:pPr>
              <w:ind w:left="600"/>
              <w:spacing w:after="0"/>
              <w:rPr>
                <w:sz w:val="20"/>
                <w:szCs w:val="20"/>
                <w:color w:val="auto"/>
              </w:rPr>
            </w:pPr>
            <w:r>
              <w:rPr>
                <w:rFonts w:ascii="Arial" w:cs="Arial" w:eastAsia="Arial" w:hAnsi="Arial"/>
                <w:sz w:val="18"/>
                <w:szCs w:val="18"/>
                <w:color w:val="auto"/>
              </w:rPr>
              <w:t>and $4,235 in 2010</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80,672</w:t>
            </w:r>
          </w:p>
        </w:tc>
        <w:tc>
          <w:tcPr>
            <w:tcW w:w="22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82,951</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880" w:type="dxa"/>
            <w:vAlign w:val="bottom"/>
            <w:shd w:val="clear" w:color="auto" w:fill="C0C0C0"/>
          </w:tcPr>
          <w:p>
            <w:pPr>
              <w:ind w:left="300"/>
              <w:spacing w:after="0"/>
              <w:rPr>
                <w:sz w:val="20"/>
                <w:szCs w:val="20"/>
                <w:color w:val="auto"/>
              </w:rPr>
            </w:pPr>
            <w:r>
              <w:rPr>
                <w:rFonts w:ascii="Arial" w:cs="Arial" w:eastAsia="Arial" w:hAnsi="Arial"/>
                <w:sz w:val="18"/>
                <w:szCs w:val="18"/>
                <w:color w:val="auto"/>
              </w:rPr>
              <w:t>Inventories</w:t>
            </w:r>
          </w:p>
        </w:tc>
        <w:tc>
          <w:tcPr>
            <w:tcW w:w="28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1020" w:type="dxa"/>
            <w:vAlign w:val="bottom"/>
            <w:gridSpan w:val="2"/>
            <w:shd w:val="clear" w:color="auto" w:fill="C0C0C0"/>
          </w:tcPr>
          <w:p>
            <w:pPr>
              <w:jc w:val="right"/>
              <w:ind w:right="260"/>
              <w:spacing w:after="0"/>
              <w:rPr>
                <w:sz w:val="20"/>
                <w:szCs w:val="20"/>
                <w:color w:val="auto"/>
              </w:rPr>
            </w:pPr>
            <w:r>
              <w:rPr>
                <w:rFonts w:ascii="Arial" w:cs="Arial" w:eastAsia="Arial" w:hAnsi="Arial"/>
                <w:sz w:val="18"/>
                <w:szCs w:val="18"/>
                <w:color w:val="auto"/>
              </w:rPr>
              <w:t>21,139</w:t>
            </w:r>
          </w:p>
        </w:tc>
        <w:tc>
          <w:tcPr>
            <w:tcW w:w="220" w:type="dxa"/>
            <w:vAlign w:val="bottom"/>
            <w:shd w:val="clear" w:color="auto" w:fill="C0C0C0"/>
          </w:tcPr>
          <w:p>
            <w:pPr>
              <w:spacing w:after="0"/>
              <w:rPr>
                <w:sz w:val="21"/>
                <w:szCs w:val="21"/>
                <w:color w:val="auto"/>
              </w:rPr>
            </w:pPr>
          </w:p>
        </w:tc>
        <w:tc>
          <w:tcPr>
            <w:tcW w:w="8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15,502</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880" w:type="dxa"/>
            <w:vAlign w:val="bottom"/>
          </w:tcPr>
          <w:p>
            <w:pPr>
              <w:ind w:left="300"/>
              <w:spacing w:after="0"/>
              <w:rPr>
                <w:sz w:val="20"/>
                <w:szCs w:val="20"/>
                <w:color w:val="auto"/>
              </w:rPr>
            </w:pPr>
            <w:r>
              <w:rPr>
                <w:rFonts w:ascii="Arial" w:cs="Arial" w:eastAsia="Arial" w:hAnsi="Arial"/>
                <w:sz w:val="18"/>
                <w:szCs w:val="18"/>
                <w:color w:val="auto"/>
              </w:rPr>
              <w:t>Deferred income taxes</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1,280</w:t>
            </w:r>
          </w:p>
        </w:tc>
        <w:tc>
          <w:tcPr>
            <w:tcW w:w="220" w:type="dxa"/>
            <w:vAlign w:val="bottom"/>
          </w:tcPr>
          <w:p>
            <w:pPr>
              <w:spacing w:after="0"/>
              <w:rPr>
                <w:sz w:val="20"/>
                <w:szCs w:val="20"/>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1,173</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880" w:type="dxa"/>
            <w:vAlign w:val="bottom"/>
            <w:shd w:val="clear" w:color="auto" w:fill="C0C0C0"/>
          </w:tcPr>
          <w:p>
            <w:pPr>
              <w:ind w:left="300"/>
              <w:spacing w:after="0"/>
              <w:rPr>
                <w:sz w:val="20"/>
                <w:szCs w:val="20"/>
                <w:color w:val="auto"/>
              </w:rPr>
            </w:pPr>
            <w:r>
              <w:rPr>
                <w:rFonts w:ascii="Arial" w:cs="Arial" w:eastAsia="Arial" w:hAnsi="Arial"/>
                <w:sz w:val="18"/>
                <w:szCs w:val="18"/>
                <w:color w:val="auto"/>
              </w:rPr>
              <w:t>Other current assets</w:t>
            </w:r>
          </w:p>
        </w:tc>
        <w:tc>
          <w:tcPr>
            <w:tcW w:w="28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1020" w:type="dxa"/>
            <w:vAlign w:val="bottom"/>
            <w:gridSpan w:val="2"/>
            <w:shd w:val="clear" w:color="auto" w:fill="C0C0C0"/>
          </w:tcPr>
          <w:p>
            <w:pPr>
              <w:jc w:val="right"/>
              <w:ind w:right="260"/>
              <w:spacing w:after="0"/>
              <w:rPr>
                <w:sz w:val="20"/>
                <w:szCs w:val="20"/>
                <w:color w:val="auto"/>
              </w:rPr>
            </w:pPr>
            <w:r>
              <w:rPr>
                <w:rFonts w:ascii="Arial" w:cs="Arial" w:eastAsia="Arial" w:hAnsi="Arial"/>
                <w:sz w:val="18"/>
                <w:szCs w:val="18"/>
                <w:color w:val="auto"/>
              </w:rPr>
              <w:t>7,016</w:t>
            </w:r>
          </w:p>
        </w:tc>
        <w:tc>
          <w:tcPr>
            <w:tcW w:w="220" w:type="dxa"/>
            <w:vAlign w:val="bottom"/>
            <w:shd w:val="clear" w:color="auto" w:fill="C0C0C0"/>
          </w:tcPr>
          <w:p>
            <w:pPr>
              <w:spacing w:after="0"/>
              <w:rPr>
                <w:sz w:val="21"/>
                <w:szCs w:val="21"/>
                <w:color w:val="auto"/>
              </w:rPr>
            </w:pPr>
          </w:p>
        </w:tc>
        <w:tc>
          <w:tcPr>
            <w:tcW w:w="8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7,231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80" w:type="dxa"/>
            <w:vAlign w:val="bottom"/>
            <w:vMerge w:val="restart"/>
          </w:tcPr>
          <w:p>
            <w:pPr>
              <w:ind w:left="300"/>
              <w:spacing w:after="0"/>
              <w:rPr>
                <w:sz w:val="20"/>
                <w:szCs w:val="20"/>
                <w:color w:val="auto"/>
              </w:rPr>
            </w:pPr>
            <w:r>
              <w:rPr>
                <w:rFonts w:ascii="Arial" w:cs="Arial" w:eastAsia="Arial" w:hAnsi="Arial"/>
                <w:sz w:val="18"/>
                <w:szCs w:val="18"/>
                <w:color w:val="auto"/>
              </w:rPr>
              <w:t>Total current assets</w:t>
            </w: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888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222,830</w:t>
            </w:r>
          </w:p>
        </w:tc>
        <w:tc>
          <w:tcPr>
            <w:tcW w:w="220" w:type="dxa"/>
            <w:vAlign w:val="bottom"/>
          </w:tcPr>
          <w:p>
            <w:pPr>
              <w:spacing w:after="0"/>
              <w:rPr>
                <w:sz w:val="19"/>
                <w:szCs w:val="19"/>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205,802</w:t>
            </w:r>
          </w:p>
        </w:tc>
        <w:tc>
          <w:tcPr>
            <w:tcW w:w="0" w:type="dxa"/>
            <w:vAlign w:val="bottom"/>
          </w:tcPr>
          <w:p>
            <w:pPr>
              <w:spacing w:after="0"/>
              <w:rPr>
                <w:sz w:val="1"/>
                <w:szCs w:val="1"/>
                <w:color w:val="auto"/>
              </w:rPr>
            </w:pPr>
          </w:p>
        </w:tc>
      </w:tr>
      <w:tr>
        <w:trPr>
          <w:trHeight w:val="259"/>
        </w:trPr>
        <w:tc>
          <w:tcPr>
            <w:tcW w:w="8900" w:type="dxa"/>
            <w:vAlign w:val="bottom"/>
            <w:gridSpan w:val="2"/>
          </w:tcPr>
          <w:p>
            <w:pPr>
              <w:spacing w:after="0"/>
              <w:rPr>
                <w:sz w:val="22"/>
                <w:szCs w:val="22"/>
                <w:color w:val="auto"/>
              </w:rPr>
            </w:pP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880" w:type="dxa"/>
            <w:vAlign w:val="bottom"/>
            <w:shd w:val="clear" w:color="auto" w:fill="C0C0C0"/>
          </w:tcPr>
          <w:p>
            <w:pPr>
              <w:spacing w:after="0"/>
              <w:rPr>
                <w:sz w:val="20"/>
                <w:szCs w:val="20"/>
                <w:color w:val="auto"/>
              </w:rPr>
            </w:pPr>
            <w:r>
              <w:rPr>
                <w:rFonts w:ascii="Arial" w:cs="Arial" w:eastAsia="Arial" w:hAnsi="Arial"/>
                <w:sz w:val="18"/>
                <w:szCs w:val="18"/>
                <w:color w:val="auto"/>
              </w:rPr>
              <w:t>Property, plant and equipment, net</w:t>
            </w:r>
          </w:p>
        </w:tc>
        <w:tc>
          <w:tcPr>
            <w:tcW w:w="28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1020" w:type="dxa"/>
            <w:vAlign w:val="bottom"/>
            <w:gridSpan w:val="2"/>
            <w:shd w:val="clear" w:color="auto" w:fill="C0C0C0"/>
          </w:tcPr>
          <w:p>
            <w:pPr>
              <w:jc w:val="right"/>
              <w:ind w:right="260"/>
              <w:spacing w:after="0"/>
              <w:rPr>
                <w:sz w:val="20"/>
                <w:szCs w:val="20"/>
                <w:color w:val="auto"/>
              </w:rPr>
            </w:pPr>
            <w:r>
              <w:rPr>
                <w:rFonts w:ascii="Arial" w:cs="Arial" w:eastAsia="Arial" w:hAnsi="Arial"/>
                <w:sz w:val="18"/>
                <w:szCs w:val="18"/>
                <w:color w:val="auto"/>
              </w:rPr>
              <w:t>386,860</w:t>
            </w:r>
          </w:p>
        </w:tc>
        <w:tc>
          <w:tcPr>
            <w:tcW w:w="220" w:type="dxa"/>
            <w:vAlign w:val="bottom"/>
            <w:shd w:val="clear" w:color="auto" w:fill="C0C0C0"/>
          </w:tcPr>
          <w:p>
            <w:pPr>
              <w:spacing w:after="0"/>
              <w:rPr>
                <w:sz w:val="21"/>
                <w:szCs w:val="21"/>
                <w:color w:val="auto"/>
              </w:rPr>
            </w:pPr>
          </w:p>
        </w:tc>
        <w:tc>
          <w:tcPr>
            <w:tcW w:w="8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369,814</w:t>
            </w:r>
          </w:p>
        </w:tc>
        <w:tc>
          <w:tcPr>
            <w:tcW w:w="0" w:type="dxa"/>
            <w:vAlign w:val="bottom"/>
          </w:tcPr>
          <w:p>
            <w:pPr>
              <w:spacing w:after="0"/>
              <w:rPr>
                <w:sz w:val="1"/>
                <w:szCs w:val="1"/>
                <w:color w:val="auto"/>
              </w:rPr>
            </w:pPr>
          </w:p>
        </w:tc>
      </w:tr>
      <w:tr>
        <w:trPr>
          <w:trHeight w:val="235"/>
        </w:trPr>
        <w:tc>
          <w:tcPr>
            <w:tcW w:w="8900" w:type="dxa"/>
            <w:vAlign w:val="bottom"/>
            <w:gridSpan w:val="2"/>
          </w:tcPr>
          <w:p>
            <w:pPr>
              <w:spacing w:after="0"/>
              <w:rPr>
                <w:sz w:val="20"/>
                <w:szCs w:val="20"/>
                <w:color w:val="auto"/>
              </w:rPr>
            </w:pPr>
            <w:r>
              <w:rPr>
                <w:rFonts w:ascii="Arial" w:cs="Arial" w:eastAsia="Arial" w:hAnsi="Arial"/>
                <w:sz w:val="18"/>
                <w:szCs w:val="18"/>
                <w:color w:val="auto"/>
              </w:rPr>
              <w:t>Investment in joint venture</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65,773</w:t>
            </w:r>
          </w:p>
        </w:tc>
        <w:tc>
          <w:tcPr>
            <w:tcW w:w="220" w:type="dxa"/>
            <w:vAlign w:val="bottom"/>
          </w:tcPr>
          <w:p>
            <w:pPr>
              <w:spacing w:after="0"/>
              <w:rPr>
                <w:sz w:val="20"/>
                <w:szCs w:val="20"/>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61,127</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880" w:type="dxa"/>
            <w:vAlign w:val="bottom"/>
            <w:shd w:val="clear" w:color="auto" w:fill="C0C0C0"/>
          </w:tcPr>
          <w:p>
            <w:pPr>
              <w:spacing w:after="0"/>
              <w:rPr>
                <w:sz w:val="20"/>
                <w:szCs w:val="20"/>
                <w:color w:val="auto"/>
              </w:rPr>
            </w:pPr>
            <w:r>
              <w:rPr>
                <w:rFonts w:ascii="Arial" w:cs="Arial" w:eastAsia="Arial" w:hAnsi="Arial"/>
                <w:sz w:val="18"/>
                <w:szCs w:val="18"/>
                <w:color w:val="auto"/>
              </w:rPr>
              <w:t>Intangible assets, net</w:t>
            </w:r>
          </w:p>
        </w:tc>
        <w:tc>
          <w:tcPr>
            <w:tcW w:w="28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1020" w:type="dxa"/>
            <w:vAlign w:val="bottom"/>
            <w:gridSpan w:val="2"/>
            <w:shd w:val="clear" w:color="auto" w:fill="C0C0C0"/>
          </w:tcPr>
          <w:p>
            <w:pPr>
              <w:jc w:val="right"/>
              <w:ind w:right="260"/>
              <w:spacing w:after="0"/>
              <w:rPr>
                <w:sz w:val="20"/>
                <w:szCs w:val="20"/>
                <w:color w:val="auto"/>
              </w:rPr>
            </w:pPr>
            <w:r>
              <w:rPr>
                <w:rFonts w:ascii="Arial" w:cs="Arial" w:eastAsia="Arial" w:hAnsi="Arial"/>
                <w:sz w:val="18"/>
                <w:szCs w:val="18"/>
                <w:color w:val="auto"/>
              </w:rPr>
              <w:t>46,242</w:t>
            </w:r>
          </w:p>
        </w:tc>
        <w:tc>
          <w:tcPr>
            <w:tcW w:w="220" w:type="dxa"/>
            <w:vAlign w:val="bottom"/>
            <w:shd w:val="clear" w:color="auto" w:fill="C0C0C0"/>
          </w:tcPr>
          <w:p>
            <w:pPr>
              <w:spacing w:after="0"/>
              <w:rPr>
                <w:sz w:val="21"/>
                <w:szCs w:val="21"/>
                <w:color w:val="auto"/>
              </w:rPr>
            </w:pPr>
          </w:p>
        </w:tc>
        <w:tc>
          <w:tcPr>
            <w:tcW w:w="8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47,748</w:t>
            </w:r>
          </w:p>
        </w:tc>
        <w:tc>
          <w:tcPr>
            <w:tcW w:w="0" w:type="dxa"/>
            <w:vAlign w:val="bottom"/>
          </w:tcPr>
          <w:p>
            <w:pPr>
              <w:spacing w:after="0"/>
              <w:rPr>
                <w:sz w:val="1"/>
                <w:szCs w:val="1"/>
                <w:color w:val="auto"/>
              </w:rPr>
            </w:pPr>
          </w:p>
        </w:tc>
      </w:tr>
      <w:tr>
        <w:trPr>
          <w:trHeight w:val="235"/>
        </w:trPr>
        <w:tc>
          <w:tcPr>
            <w:tcW w:w="890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18,844</w:t>
            </w:r>
          </w:p>
        </w:tc>
        <w:tc>
          <w:tcPr>
            <w:tcW w:w="220" w:type="dxa"/>
            <w:vAlign w:val="bottom"/>
          </w:tcPr>
          <w:p>
            <w:pPr>
              <w:spacing w:after="0"/>
              <w:rPr>
                <w:sz w:val="20"/>
                <w:szCs w:val="20"/>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19,388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80" w:type="dxa"/>
            <w:vAlign w:val="bottom"/>
            <w:shd w:val="clear" w:color="auto" w:fill="C0C0C0"/>
          </w:tcPr>
          <w:p>
            <w:pPr>
              <w:spacing w:after="0" w:line="20" w:lineRule="exact"/>
              <w:rPr>
                <w:sz w:val="1"/>
                <w:szCs w:val="1"/>
                <w:color w:val="auto"/>
              </w:rPr>
            </w:pPr>
          </w:p>
        </w:tc>
        <w:tc>
          <w:tcPr>
            <w:tcW w:w="280" w:type="dxa"/>
            <w:vAlign w:val="bottom"/>
            <w:shd w:val="clear" w:color="auto" w:fill="C0C0C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shd w:val="clear" w:color="auto" w:fill="C0C0C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880" w:type="dxa"/>
            <w:vAlign w:val="bottom"/>
            <w:shd w:val="clear" w:color="auto" w:fill="C0C0C0"/>
          </w:tcPr>
          <w:p>
            <w:pPr>
              <w:spacing w:after="0"/>
              <w:rPr>
                <w:sz w:val="21"/>
                <w:szCs w:val="21"/>
                <w:color w:val="auto"/>
              </w:rPr>
            </w:pPr>
          </w:p>
        </w:tc>
        <w:tc>
          <w:tcPr>
            <w:tcW w:w="460" w:type="dxa"/>
            <w:vAlign w:val="bottom"/>
            <w:gridSpan w:val="2"/>
            <w:shd w:val="clear" w:color="auto" w:fill="C0C0C0"/>
          </w:tcPr>
          <w:p>
            <w:pPr>
              <w:ind w:left="2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0C0C0"/>
          </w:tcPr>
          <w:p>
            <w:pPr>
              <w:jc w:val="right"/>
              <w:ind w:right="260"/>
              <w:spacing w:after="0"/>
              <w:rPr>
                <w:sz w:val="20"/>
                <w:szCs w:val="20"/>
                <w:color w:val="auto"/>
              </w:rPr>
            </w:pPr>
            <w:r>
              <w:rPr>
                <w:rFonts w:ascii="Arial" w:cs="Arial" w:eastAsia="Arial" w:hAnsi="Arial"/>
                <w:sz w:val="18"/>
                <w:szCs w:val="18"/>
                <w:color w:val="auto"/>
              </w:rPr>
              <w:t>740,549</w:t>
            </w:r>
          </w:p>
        </w:tc>
        <w:tc>
          <w:tcPr>
            <w:tcW w:w="220" w:type="dxa"/>
            <w:vAlign w:val="bottom"/>
            <w:shd w:val="clear" w:color="auto" w:fill="C0C0C0"/>
          </w:tcPr>
          <w:p>
            <w:pPr>
              <w:jc w:val="right"/>
              <w:ind w:right="61"/>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703,879</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880" w:type="dxa"/>
            <w:vAlign w:val="bottom"/>
            <w:tcBorders>
              <w:top w:val="single" w:sz="8" w:color="C0C0C0"/>
            </w:tcBorders>
          </w:tcPr>
          <w:p>
            <w:pPr>
              <w:spacing w:after="0"/>
              <w:rPr>
                <w:sz w:val="21"/>
                <w:szCs w:val="21"/>
                <w:color w:val="auto"/>
              </w:rPr>
            </w:pPr>
          </w:p>
        </w:tc>
        <w:tc>
          <w:tcPr>
            <w:tcW w:w="280" w:type="dxa"/>
            <w:vAlign w:val="bottom"/>
            <w:tcBorders>
              <w:top w:val="single" w:sz="8" w:color="C0C0C0"/>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280" w:type="dxa"/>
            <w:vAlign w:val="bottom"/>
            <w:tcBorders>
              <w:top w:val="single" w:sz="8" w:color="C0C0C0"/>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880" w:type="dxa"/>
            <w:vAlign w:val="bottom"/>
            <w:shd w:val="clear" w:color="auto" w:fill="C0C0C0"/>
          </w:tcPr>
          <w:p>
            <w:pPr>
              <w:spacing w:after="0"/>
              <w:rPr>
                <w:sz w:val="20"/>
                <w:szCs w:val="20"/>
                <w:color w:val="auto"/>
              </w:rPr>
            </w:pPr>
            <w:r>
              <w:rPr>
                <w:rFonts w:ascii="Arial" w:cs="Arial" w:eastAsia="Arial" w:hAnsi="Arial"/>
                <w:sz w:val="18"/>
                <w:szCs w:val="18"/>
                <w:b w:val="1"/>
                <w:bCs w:val="1"/>
                <w:color w:val="auto"/>
              </w:rPr>
              <w:t>LIABILITIES AND EQUITY</w:t>
            </w:r>
          </w:p>
        </w:tc>
        <w:tc>
          <w:tcPr>
            <w:tcW w:w="28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74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820" w:type="dxa"/>
            <w:vAlign w:val="bottom"/>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890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880" w:type="dxa"/>
            <w:vAlign w:val="bottom"/>
            <w:shd w:val="clear" w:color="auto" w:fill="C0C0C0"/>
          </w:tcPr>
          <w:p>
            <w:pPr>
              <w:ind w:left="300"/>
              <w:spacing w:after="0"/>
              <w:rPr>
                <w:sz w:val="20"/>
                <w:szCs w:val="20"/>
                <w:color w:val="auto"/>
              </w:rPr>
            </w:pPr>
            <w:r>
              <w:rPr>
                <w:rFonts w:ascii="Arial" w:cs="Arial" w:eastAsia="Arial" w:hAnsi="Arial"/>
                <w:sz w:val="18"/>
                <w:szCs w:val="18"/>
                <w:color w:val="auto"/>
              </w:rPr>
              <w:t>Current portion of long-term borrowings</w:t>
            </w:r>
          </w:p>
        </w:tc>
        <w:tc>
          <w:tcPr>
            <w:tcW w:w="460" w:type="dxa"/>
            <w:vAlign w:val="bottom"/>
            <w:gridSpan w:val="2"/>
            <w:shd w:val="clear" w:color="auto" w:fill="C0C0C0"/>
          </w:tcPr>
          <w:p>
            <w:pPr>
              <w:ind w:left="2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0C0C0"/>
          </w:tcPr>
          <w:p>
            <w:pPr>
              <w:jc w:val="right"/>
              <w:ind w:right="260"/>
              <w:spacing w:after="0"/>
              <w:rPr>
                <w:sz w:val="20"/>
                <w:szCs w:val="20"/>
                <w:color w:val="auto"/>
              </w:rPr>
            </w:pPr>
            <w:r>
              <w:rPr>
                <w:rFonts w:ascii="Arial" w:cs="Arial" w:eastAsia="Arial" w:hAnsi="Arial"/>
                <w:sz w:val="18"/>
                <w:szCs w:val="18"/>
                <w:color w:val="auto"/>
              </w:rPr>
              <w:t>12,009</w:t>
            </w:r>
          </w:p>
        </w:tc>
        <w:tc>
          <w:tcPr>
            <w:tcW w:w="220" w:type="dxa"/>
            <w:vAlign w:val="bottom"/>
            <w:shd w:val="clear" w:color="auto" w:fill="C0C0C0"/>
          </w:tcPr>
          <w:p>
            <w:pPr>
              <w:jc w:val="right"/>
              <w:ind w:right="61"/>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11,467</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880" w:type="dxa"/>
            <w:vAlign w:val="bottom"/>
          </w:tcPr>
          <w:p>
            <w:pPr>
              <w:ind w:left="300"/>
              <w:spacing w:after="0"/>
              <w:rPr>
                <w:sz w:val="20"/>
                <w:szCs w:val="20"/>
                <w:color w:val="auto"/>
              </w:rPr>
            </w:pPr>
            <w:r>
              <w:rPr>
                <w:rFonts w:ascii="Arial" w:cs="Arial" w:eastAsia="Arial" w:hAnsi="Arial"/>
                <w:sz w:val="18"/>
                <w:szCs w:val="18"/>
                <w:color w:val="auto"/>
              </w:rPr>
              <w:t>Accounts payable</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95,755</w:t>
            </w:r>
          </w:p>
        </w:tc>
        <w:tc>
          <w:tcPr>
            <w:tcW w:w="220" w:type="dxa"/>
            <w:vAlign w:val="bottom"/>
          </w:tcPr>
          <w:p>
            <w:pPr>
              <w:spacing w:after="0"/>
              <w:rPr>
                <w:sz w:val="20"/>
                <w:szCs w:val="20"/>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77,630</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880" w:type="dxa"/>
            <w:vAlign w:val="bottom"/>
            <w:shd w:val="clear" w:color="auto" w:fill="C0C0C0"/>
          </w:tcPr>
          <w:p>
            <w:pPr>
              <w:ind w:left="300"/>
              <w:spacing w:after="0"/>
              <w:rPr>
                <w:sz w:val="20"/>
                <w:szCs w:val="20"/>
                <w:color w:val="auto"/>
              </w:rPr>
            </w:pPr>
            <w:r>
              <w:rPr>
                <w:rFonts w:ascii="Arial" w:cs="Arial" w:eastAsia="Arial" w:hAnsi="Arial"/>
                <w:sz w:val="18"/>
                <w:szCs w:val="18"/>
                <w:color w:val="auto"/>
              </w:rPr>
              <w:t>Accrued liabilities</w:t>
            </w:r>
          </w:p>
        </w:tc>
        <w:tc>
          <w:tcPr>
            <w:tcW w:w="28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1020" w:type="dxa"/>
            <w:vAlign w:val="bottom"/>
            <w:gridSpan w:val="2"/>
            <w:shd w:val="clear" w:color="auto" w:fill="C0C0C0"/>
          </w:tcPr>
          <w:p>
            <w:pPr>
              <w:jc w:val="right"/>
              <w:ind w:right="260"/>
              <w:spacing w:after="0"/>
              <w:rPr>
                <w:sz w:val="20"/>
                <w:szCs w:val="20"/>
                <w:color w:val="auto"/>
              </w:rPr>
            </w:pPr>
            <w:r>
              <w:rPr>
                <w:rFonts w:ascii="Arial" w:cs="Arial" w:eastAsia="Arial" w:hAnsi="Arial"/>
                <w:sz w:val="18"/>
                <w:szCs w:val="18"/>
                <w:color w:val="auto"/>
              </w:rPr>
              <w:t>33,549</w:t>
            </w:r>
          </w:p>
        </w:tc>
        <w:tc>
          <w:tcPr>
            <w:tcW w:w="220" w:type="dxa"/>
            <w:vAlign w:val="bottom"/>
            <w:shd w:val="clear" w:color="auto" w:fill="C0C0C0"/>
          </w:tcPr>
          <w:p>
            <w:pPr>
              <w:spacing w:after="0"/>
              <w:rPr>
                <w:sz w:val="21"/>
                <w:szCs w:val="21"/>
                <w:color w:val="auto"/>
              </w:rPr>
            </w:pPr>
          </w:p>
        </w:tc>
        <w:tc>
          <w:tcPr>
            <w:tcW w:w="8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30,132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80" w:type="dxa"/>
            <w:vAlign w:val="bottom"/>
            <w:vMerge w:val="restart"/>
          </w:tcPr>
          <w:p>
            <w:pPr>
              <w:ind w:left="300"/>
              <w:spacing w:after="0"/>
              <w:rPr>
                <w:sz w:val="20"/>
                <w:szCs w:val="20"/>
                <w:color w:val="auto"/>
              </w:rPr>
            </w:pPr>
            <w:r>
              <w:rPr>
                <w:rFonts w:ascii="Arial" w:cs="Arial" w:eastAsia="Arial" w:hAnsi="Arial"/>
                <w:sz w:val="18"/>
                <w:szCs w:val="18"/>
                <w:color w:val="auto"/>
              </w:rPr>
              <w:t>Total current liabilities</w:t>
            </w: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888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141,313</w:t>
            </w:r>
          </w:p>
        </w:tc>
        <w:tc>
          <w:tcPr>
            <w:tcW w:w="220" w:type="dxa"/>
            <w:vAlign w:val="bottom"/>
          </w:tcPr>
          <w:p>
            <w:pPr>
              <w:spacing w:after="0"/>
              <w:rPr>
                <w:sz w:val="19"/>
                <w:szCs w:val="19"/>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119,229</w:t>
            </w:r>
          </w:p>
        </w:tc>
        <w:tc>
          <w:tcPr>
            <w:tcW w:w="0" w:type="dxa"/>
            <w:vAlign w:val="bottom"/>
          </w:tcPr>
          <w:p>
            <w:pPr>
              <w:spacing w:after="0"/>
              <w:rPr>
                <w:sz w:val="1"/>
                <w:szCs w:val="1"/>
                <w:color w:val="auto"/>
              </w:rPr>
            </w:pPr>
          </w:p>
        </w:tc>
      </w:tr>
      <w:tr>
        <w:trPr>
          <w:trHeight w:val="259"/>
        </w:trPr>
        <w:tc>
          <w:tcPr>
            <w:tcW w:w="8900" w:type="dxa"/>
            <w:vAlign w:val="bottom"/>
            <w:gridSpan w:val="2"/>
          </w:tcPr>
          <w:p>
            <w:pPr>
              <w:spacing w:after="0"/>
              <w:rPr>
                <w:sz w:val="22"/>
                <w:szCs w:val="22"/>
                <w:color w:val="auto"/>
              </w:rPr>
            </w:pP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880" w:type="dxa"/>
            <w:vAlign w:val="bottom"/>
            <w:shd w:val="clear" w:color="auto" w:fill="C0C0C0"/>
          </w:tcPr>
          <w:p>
            <w:pPr>
              <w:spacing w:after="0"/>
              <w:rPr>
                <w:sz w:val="20"/>
                <w:szCs w:val="20"/>
                <w:color w:val="auto"/>
              </w:rPr>
            </w:pPr>
            <w:r>
              <w:rPr>
                <w:rFonts w:ascii="Arial" w:cs="Arial" w:eastAsia="Arial" w:hAnsi="Arial"/>
                <w:sz w:val="18"/>
                <w:szCs w:val="18"/>
                <w:color w:val="auto"/>
              </w:rPr>
              <w:t>Long-term borrowings</w:t>
            </w:r>
          </w:p>
        </w:tc>
        <w:tc>
          <w:tcPr>
            <w:tcW w:w="28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1020" w:type="dxa"/>
            <w:vAlign w:val="bottom"/>
            <w:gridSpan w:val="2"/>
            <w:shd w:val="clear" w:color="auto" w:fill="C0C0C0"/>
          </w:tcPr>
          <w:p>
            <w:pPr>
              <w:jc w:val="right"/>
              <w:ind w:right="260"/>
              <w:spacing w:after="0"/>
              <w:rPr>
                <w:sz w:val="20"/>
                <w:szCs w:val="20"/>
                <w:color w:val="auto"/>
              </w:rPr>
            </w:pPr>
            <w:r>
              <w:rPr>
                <w:rFonts w:ascii="Arial" w:cs="Arial" w:eastAsia="Arial" w:hAnsi="Arial"/>
                <w:sz w:val="18"/>
                <w:szCs w:val="18"/>
                <w:color w:val="auto"/>
              </w:rPr>
              <w:t>70,631</w:t>
            </w:r>
          </w:p>
        </w:tc>
        <w:tc>
          <w:tcPr>
            <w:tcW w:w="220" w:type="dxa"/>
            <w:vAlign w:val="bottom"/>
            <w:shd w:val="clear" w:color="auto" w:fill="C0C0C0"/>
          </w:tcPr>
          <w:p>
            <w:pPr>
              <w:spacing w:after="0"/>
              <w:rPr>
                <w:sz w:val="21"/>
                <w:szCs w:val="21"/>
                <w:color w:val="auto"/>
              </w:rPr>
            </w:pPr>
          </w:p>
        </w:tc>
        <w:tc>
          <w:tcPr>
            <w:tcW w:w="8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78,852</w:t>
            </w:r>
          </w:p>
        </w:tc>
        <w:tc>
          <w:tcPr>
            <w:tcW w:w="0" w:type="dxa"/>
            <w:vAlign w:val="bottom"/>
          </w:tcPr>
          <w:p>
            <w:pPr>
              <w:spacing w:after="0"/>
              <w:rPr>
                <w:sz w:val="1"/>
                <w:szCs w:val="1"/>
                <w:color w:val="auto"/>
              </w:rPr>
            </w:pPr>
          </w:p>
        </w:tc>
      </w:tr>
      <w:tr>
        <w:trPr>
          <w:trHeight w:val="235"/>
        </w:trPr>
        <w:tc>
          <w:tcPr>
            <w:tcW w:w="8900" w:type="dxa"/>
            <w:vAlign w:val="bottom"/>
            <w:gridSpan w:val="2"/>
          </w:tcPr>
          <w:p>
            <w:pPr>
              <w:spacing w:after="0"/>
              <w:rPr>
                <w:sz w:val="20"/>
                <w:szCs w:val="20"/>
                <w:color w:val="auto"/>
              </w:rPr>
            </w:pPr>
            <w:r>
              <w:rPr>
                <w:rFonts w:ascii="Arial" w:cs="Arial" w:eastAsia="Arial" w:hAnsi="Arial"/>
                <w:sz w:val="18"/>
                <w:szCs w:val="18"/>
                <w:color w:val="auto"/>
              </w:rPr>
              <w:t>Deferred income taxes</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493</w:t>
            </w:r>
          </w:p>
        </w:tc>
        <w:tc>
          <w:tcPr>
            <w:tcW w:w="220" w:type="dxa"/>
            <w:vAlign w:val="bottom"/>
          </w:tcPr>
          <w:p>
            <w:pPr>
              <w:spacing w:after="0"/>
              <w:rPr>
                <w:sz w:val="20"/>
                <w:szCs w:val="20"/>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880" w:type="dxa"/>
            <w:vAlign w:val="bottom"/>
            <w:shd w:val="clear" w:color="auto" w:fill="C0C0C0"/>
          </w:tcPr>
          <w:p>
            <w:pPr>
              <w:spacing w:after="0"/>
              <w:rPr>
                <w:sz w:val="20"/>
                <w:szCs w:val="20"/>
                <w:color w:val="auto"/>
              </w:rPr>
            </w:pPr>
            <w:r>
              <w:rPr>
                <w:rFonts w:ascii="Arial" w:cs="Arial" w:eastAsia="Arial" w:hAnsi="Arial"/>
                <w:sz w:val="18"/>
                <w:szCs w:val="18"/>
                <w:color w:val="auto"/>
              </w:rPr>
              <w:t>Other liabilities</w:t>
            </w:r>
          </w:p>
        </w:tc>
        <w:tc>
          <w:tcPr>
            <w:tcW w:w="28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1020" w:type="dxa"/>
            <w:vAlign w:val="bottom"/>
            <w:gridSpan w:val="2"/>
            <w:shd w:val="clear" w:color="auto" w:fill="C0C0C0"/>
          </w:tcPr>
          <w:p>
            <w:pPr>
              <w:jc w:val="right"/>
              <w:ind w:right="260"/>
              <w:spacing w:after="0"/>
              <w:rPr>
                <w:sz w:val="20"/>
                <w:szCs w:val="20"/>
                <w:color w:val="auto"/>
              </w:rPr>
            </w:pPr>
            <w:r>
              <w:rPr>
                <w:rFonts w:ascii="Arial" w:cs="Arial" w:eastAsia="Arial" w:hAnsi="Arial"/>
                <w:sz w:val="18"/>
                <w:szCs w:val="18"/>
                <w:color w:val="auto"/>
              </w:rPr>
              <w:t>9,650</w:t>
            </w:r>
          </w:p>
        </w:tc>
        <w:tc>
          <w:tcPr>
            <w:tcW w:w="220" w:type="dxa"/>
            <w:vAlign w:val="bottom"/>
            <w:shd w:val="clear" w:color="auto" w:fill="C0C0C0"/>
          </w:tcPr>
          <w:p>
            <w:pPr>
              <w:spacing w:after="0"/>
              <w:rPr>
                <w:sz w:val="21"/>
                <w:szCs w:val="21"/>
                <w:color w:val="auto"/>
              </w:rPr>
            </w:pPr>
          </w:p>
        </w:tc>
        <w:tc>
          <w:tcPr>
            <w:tcW w:w="8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9,356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80" w:type="dxa"/>
            <w:vAlign w:val="bottom"/>
            <w:vMerge w:val="restart"/>
          </w:tcPr>
          <w:p>
            <w:pPr>
              <w:ind w:left="300"/>
              <w:spacing w:after="0"/>
              <w:rPr>
                <w:sz w:val="20"/>
                <w:szCs w:val="20"/>
                <w:color w:val="auto"/>
              </w:rPr>
            </w:pPr>
            <w:r>
              <w:rPr>
                <w:rFonts w:ascii="Arial" w:cs="Arial" w:eastAsia="Arial" w:hAnsi="Arial"/>
                <w:sz w:val="18"/>
                <w:szCs w:val="18"/>
                <w:color w:val="auto"/>
              </w:rPr>
              <w:t>Total liabilities</w:t>
            </w: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888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222,087</w:t>
            </w:r>
          </w:p>
        </w:tc>
        <w:tc>
          <w:tcPr>
            <w:tcW w:w="220" w:type="dxa"/>
            <w:vAlign w:val="bottom"/>
          </w:tcPr>
          <w:p>
            <w:pPr>
              <w:spacing w:after="0"/>
              <w:rPr>
                <w:sz w:val="19"/>
                <w:szCs w:val="19"/>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207,936</w:t>
            </w:r>
          </w:p>
        </w:tc>
        <w:tc>
          <w:tcPr>
            <w:tcW w:w="0" w:type="dxa"/>
            <w:vAlign w:val="bottom"/>
          </w:tcPr>
          <w:p>
            <w:pPr>
              <w:spacing w:after="0"/>
              <w:rPr>
                <w:sz w:val="1"/>
                <w:szCs w:val="1"/>
                <w:color w:val="auto"/>
              </w:rPr>
            </w:pPr>
          </w:p>
        </w:tc>
      </w:tr>
      <w:tr>
        <w:trPr>
          <w:trHeight w:val="259"/>
        </w:trPr>
        <w:tc>
          <w:tcPr>
            <w:tcW w:w="8900" w:type="dxa"/>
            <w:vAlign w:val="bottom"/>
            <w:gridSpan w:val="2"/>
          </w:tcPr>
          <w:p>
            <w:pPr>
              <w:spacing w:after="0"/>
              <w:rPr>
                <w:sz w:val="22"/>
                <w:szCs w:val="22"/>
                <w:color w:val="auto"/>
              </w:rPr>
            </w:pP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880" w:type="dxa"/>
            <w:vAlign w:val="bottom"/>
            <w:shd w:val="clear" w:color="auto" w:fill="C0C0C0"/>
          </w:tcPr>
          <w:p>
            <w:pPr>
              <w:spacing w:after="0"/>
              <w:rPr>
                <w:sz w:val="20"/>
                <w:szCs w:val="20"/>
                <w:color w:val="auto"/>
              </w:rPr>
            </w:pPr>
            <w:r>
              <w:rPr>
                <w:rFonts w:ascii="Arial" w:cs="Arial" w:eastAsia="Arial" w:hAnsi="Arial"/>
                <w:sz w:val="18"/>
                <w:szCs w:val="18"/>
                <w:color w:val="auto"/>
              </w:rPr>
              <w:t>Commitments and contingencies</w:t>
            </w:r>
          </w:p>
        </w:tc>
        <w:tc>
          <w:tcPr>
            <w:tcW w:w="28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74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820" w:type="dxa"/>
            <w:vAlign w:val="bottom"/>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900" w:type="dxa"/>
            <w:vAlign w:val="bottom"/>
            <w:gridSpan w:val="2"/>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880" w:type="dxa"/>
            <w:vAlign w:val="bottom"/>
            <w:shd w:val="clear" w:color="auto" w:fill="C0C0C0"/>
          </w:tcPr>
          <w:p>
            <w:pPr>
              <w:spacing w:after="0"/>
              <w:rPr>
                <w:sz w:val="20"/>
                <w:szCs w:val="20"/>
                <w:color w:val="auto"/>
              </w:rPr>
            </w:pPr>
            <w:r>
              <w:rPr>
                <w:rFonts w:ascii="Arial" w:cs="Arial" w:eastAsia="Arial" w:hAnsi="Arial"/>
                <w:sz w:val="18"/>
                <w:szCs w:val="18"/>
                <w:color w:val="auto"/>
              </w:rPr>
              <w:t>Equity:</w:t>
            </w:r>
          </w:p>
        </w:tc>
        <w:tc>
          <w:tcPr>
            <w:tcW w:w="28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74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820" w:type="dxa"/>
            <w:vAlign w:val="bottom"/>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880" w:type="dxa"/>
            <w:vAlign w:val="bottom"/>
          </w:tcPr>
          <w:p>
            <w:pPr>
              <w:ind w:left="300"/>
              <w:spacing w:after="0"/>
              <w:rPr>
                <w:sz w:val="20"/>
                <w:szCs w:val="20"/>
                <w:color w:val="auto"/>
              </w:rPr>
            </w:pPr>
            <w:r>
              <w:rPr>
                <w:rFonts w:ascii="Arial" w:cs="Arial" w:eastAsia="Arial" w:hAnsi="Arial"/>
                <w:sz w:val="18"/>
                <w:szCs w:val="18"/>
                <w:color w:val="auto"/>
              </w:rPr>
              <w:t>Preferred stock, $0.01 par value,</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880" w:type="dxa"/>
            <w:vAlign w:val="bottom"/>
          </w:tcPr>
          <w:p>
            <w:pPr>
              <w:ind w:left="600"/>
              <w:spacing w:after="0"/>
              <w:rPr>
                <w:sz w:val="20"/>
                <w:szCs w:val="20"/>
                <w:color w:val="auto"/>
              </w:rPr>
            </w:pPr>
            <w:r>
              <w:rPr>
                <w:rFonts w:ascii="Arial" w:cs="Arial" w:eastAsia="Arial" w:hAnsi="Arial"/>
                <w:sz w:val="18"/>
                <w:szCs w:val="18"/>
                <w:color w:val="auto"/>
              </w:rPr>
              <w:t>2,000 shares authorized, none issued and outstanding</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880" w:type="dxa"/>
            <w:vAlign w:val="bottom"/>
            <w:shd w:val="clear" w:color="auto" w:fill="C0C0C0"/>
          </w:tcPr>
          <w:p>
            <w:pPr>
              <w:ind w:left="300"/>
              <w:spacing w:after="0"/>
              <w:rPr>
                <w:sz w:val="20"/>
                <w:szCs w:val="20"/>
                <w:color w:val="auto"/>
              </w:rPr>
            </w:pPr>
            <w:r>
              <w:rPr>
                <w:rFonts w:ascii="Arial" w:cs="Arial" w:eastAsia="Arial" w:hAnsi="Arial"/>
                <w:sz w:val="18"/>
                <w:szCs w:val="18"/>
                <w:color w:val="auto"/>
              </w:rPr>
              <w:t>Common stock, $0.01 par value,</w:t>
            </w:r>
          </w:p>
        </w:tc>
        <w:tc>
          <w:tcPr>
            <w:tcW w:w="280" w:type="dxa"/>
            <w:vAlign w:val="bottom"/>
            <w:shd w:val="clear" w:color="auto" w:fill="C0C0C0"/>
          </w:tcPr>
          <w:p>
            <w:pPr>
              <w:spacing w:after="0"/>
              <w:rPr>
                <w:sz w:val="20"/>
                <w:szCs w:val="20"/>
                <w:color w:val="auto"/>
              </w:rPr>
            </w:pPr>
          </w:p>
        </w:tc>
        <w:tc>
          <w:tcPr>
            <w:tcW w:w="180" w:type="dxa"/>
            <w:vAlign w:val="bottom"/>
            <w:shd w:val="clear" w:color="auto" w:fill="C0C0C0"/>
          </w:tcPr>
          <w:p>
            <w:pPr>
              <w:spacing w:after="0"/>
              <w:rPr>
                <w:sz w:val="20"/>
                <w:szCs w:val="20"/>
                <w:color w:val="auto"/>
              </w:rPr>
            </w:pPr>
          </w:p>
        </w:tc>
        <w:tc>
          <w:tcPr>
            <w:tcW w:w="740" w:type="dxa"/>
            <w:vAlign w:val="bottom"/>
            <w:shd w:val="clear" w:color="auto" w:fill="C0C0C0"/>
          </w:tcPr>
          <w:p>
            <w:pPr>
              <w:spacing w:after="0"/>
              <w:rPr>
                <w:sz w:val="20"/>
                <w:szCs w:val="20"/>
                <w:color w:val="auto"/>
              </w:rPr>
            </w:pPr>
          </w:p>
        </w:tc>
        <w:tc>
          <w:tcPr>
            <w:tcW w:w="280" w:type="dxa"/>
            <w:vAlign w:val="bottom"/>
            <w:shd w:val="clear" w:color="auto" w:fill="C0C0C0"/>
          </w:tcPr>
          <w:p>
            <w:pPr>
              <w:spacing w:after="0"/>
              <w:rPr>
                <w:sz w:val="20"/>
                <w:szCs w:val="20"/>
                <w:color w:val="auto"/>
              </w:rPr>
            </w:pPr>
          </w:p>
        </w:tc>
        <w:tc>
          <w:tcPr>
            <w:tcW w:w="220" w:type="dxa"/>
            <w:vAlign w:val="bottom"/>
            <w:shd w:val="clear" w:color="auto" w:fill="C0C0C0"/>
          </w:tcPr>
          <w:p>
            <w:pPr>
              <w:spacing w:after="0"/>
              <w:rPr>
                <w:sz w:val="20"/>
                <w:szCs w:val="20"/>
                <w:color w:val="auto"/>
              </w:rPr>
            </w:pPr>
          </w:p>
        </w:tc>
        <w:tc>
          <w:tcPr>
            <w:tcW w:w="820" w:type="dxa"/>
            <w:vAlign w:val="bottom"/>
            <w:shd w:val="clear" w:color="auto" w:fill="C0C0C0"/>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880" w:type="dxa"/>
            <w:vAlign w:val="bottom"/>
            <w:shd w:val="clear" w:color="auto" w:fill="C0C0C0"/>
          </w:tcPr>
          <w:p>
            <w:pPr>
              <w:ind w:left="600"/>
              <w:spacing w:after="0"/>
              <w:rPr>
                <w:sz w:val="20"/>
                <w:szCs w:val="20"/>
                <w:color w:val="auto"/>
              </w:rPr>
            </w:pPr>
            <w:r>
              <w:rPr>
                <w:rFonts w:ascii="Arial" w:cs="Arial" w:eastAsia="Arial" w:hAnsi="Arial"/>
                <w:sz w:val="18"/>
                <w:szCs w:val="18"/>
                <w:color w:val="auto"/>
              </w:rPr>
              <w:t>150,000 shares authorized, 53,865 shares issued and outstanding</w:t>
            </w:r>
          </w:p>
        </w:tc>
        <w:tc>
          <w:tcPr>
            <w:tcW w:w="28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74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820" w:type="dxa"/>
            <w:vAlign w:val="bottom"/>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8880" w:type="dxa"/>
            <w:vAlign w:val="bottom"/>
            <w:shd w:val="clear" w:color="auto" w:fill="C0C0C0"/>
          </w:tcPr>
          <w:p>
            <w:pPr>
              <w:ind w:left="600"/>
              <w:spacing w:after="0"/>
              <w:rPr>
                <w:sz w:val="20"/>
                <w:szCs w:val="20"/>
                <w:color w:val="auto"/>
              </w:rPr>
            </w:pPr>
            <w:r>
              <w:rPr>
                <w:rFonts w:ascii="Arial" w:cs="Arial" w:eastAsia="Arial" w:hAnsi="Arial"/>
                <w:sz w:val="18"/>
                <w:szCs w:val="18"/>
                <w:color w:val="auto"/>
              </w:rPr>
              <w:t>at January 30, 2011 and 53,779 at October 31, 2010</w:t>
            </w:r>
          </w:p>
        </w:tc>
        <w:tc>
          <w:tcPr>
            <w:tcW w:w="280" w:type="dxa"/>
            <w:vAlign w:val="bottom"/>
            <w:shd w:val="clear" w:color="auto" w:fill="C0C0C0"/>
          </w:tcPr>
          <w:p>
            <w:pPr>
              <w:spacing w:after="0"/>
              <w:rPr>
                <w:sz w:val="22"/>
                <w:szCs w:val="22"/>
                <w:color w:val="auto"/>
              </w:rPr>
            </w:pPr>
          </w:p>
        </w:tc>
        <w:tc>
          <w:tcPr>
            <w:tcW w:w="180" w:type="dxa"/>
            <w:vAlign w:val="bottom"/>
            <w:shd w:val="clear" w:color="auto" w:fill="C0C0C0"/>
          </w:tcPr>
          <w:p>
            <w:pPr>
              <w:spacing w:after="0"/>
              <w:rPr>
                <w:sz w:val="22"/>
                <w:szCs w:val="22"/>
                <w:color w:val="auto"/>
              </w:rPr>
            </w:pPr>
          </w:p>
        </w:tc>
        <w:tc>
          <w:tcPr>
            <w:tcW w:w="1020" w:type="dxa"/>
            <w:vAlign w:val="bottom"/>
            <w:gridSpan w:val="2"/>
            <w:shd w:val="clear" w:color="auto" w:fill="C0C0C0"/>
          </w:tcPr>
          <w:p>
            <w:pPr>
              <w:jc w:val="right"/>
              <w:ind w:right="260"/>
              <w:spacing w:after="0"/>
              <w:rPr>
                <w:sz w:val="20"/>
                <w:szCs w:val="20"/>
                <w:color w:val="auto"/>
              </w:rPr>
            </w:pPr>
            <w:r>
              <w:rPr>
                <w:rFonts w:ascii="Arial" w:cs="Arial" w:eastAsia="Arial" w:hAnsi="Arial"/>
                <w:sz w:val="18"/>
                <w:szCs w:val="18"/>
                <w:color w:val="auto"/>
              </w:rPr>
              <w:t>539</w:t>
            </w:r>
          </w:p>
        </w:tc>
        <w:tc>
          <w:tcPr>
            <w:tcW w:w="220" w:type="dxa"/>
            <w:vAlign w:val="bottom"/>
            <w:shd w:val="clear" w:color="auto" w:fill="C0C0C0"/>
          </w:tcPr>
          <w:p>
            <w:pPr>
              <w:spacing w:after="0"/>
              <w:rPr>
                <w:sz w:val="22"/>
                <w:szCs w:val="22"/>
                <w:color w:val="auto"/>
              </w:rPr>
            </w:pPr>
          </w:p>
        </w:tc>
        <w:tc>
          <w:tcPr>
            <w:tcW w:w="8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880" w:type="dxa"/>
            <w:vAlign w:val="bottom"/>
          </w:tcPr>
          <w:p>
            <w:pPr>
              <w:ind w:left="300"/>
              <w:spacing w:after="0"/>
              <w:rPr>
                <w:sz w:val="20"/>
                <w:szCs w:val="20"/>
                <w:color w:val="auto"/>
              </w:rPr>
            </w:pPr>
            <w:r>
              <w:rPr>
                <w:rFonts w:ascii="Arial" w:cs="Arial" w:eastAsia="Arial" w:hAnsi="Arial"/>
                <w:sz w:val="18"/>
                <w:szCs w:val="18"/>
                <w:color w:val="auto"/>
              </w:rPr>
              <w:t>Additional paid-in capital</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437,360</w:t>
            </w:r>
          </w:p>
        </w:tc>
        <w:tc>
          <w:tcPr>
            <w:tcW w:w="220" w:type="dxa"/>
            <w:vAlign w:val="bottom"/>
          </w:tcPr>
          <w:p>
            <w:pPr>
              <w:spacing w:after="0"/>
              <w:rPr>
                <w:sz w:val="20"/>
                <w:szCs w:val="20"/>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436,825</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880" w:type="dxa"/>
            <w:vAlign w:val="bottom"/>
            <w:shd w:val="clear" w:color="auto" w:fill="C0C0C0"/>
          </w:tcPr>
          <w:p>
            <w:pPr>
              <w:ind w:left="300"/>
              <w:spacing w:after="0"/>
              <w:rPr>
                <w:sz w:val="20"/>
                <w:szCs w:val="20"/>
                <w:color w:val="auto"/>
              </w:rPr>
            </w:pPr>
            <w:r>
              <w:rPr>
                <w:rFonts w:ascii="Arial" w:cs="Arial" w:eastAsia="Arial" w:hAnsi="Arial"/>
                <w:sz w:val="18"/>
                <w:szCs w:val="18"/>
                <w:color w:val="auto"/>
              </w:rPr>
              <w:t>Retained earnings (accumulated deficit)</w:t>
            </w:r>
          </w:p>
        </w:tc>
        <w:tc>
          <w:tcPr>
            <w:tcW w:w="28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1020" w:type="dxa"/>
            <w:vAlign w:val="bottom"/>
            <w:gridSpan w:val="2"/>
            <w:shd w:val="clear" w:color="auto" w:fill="C0C0C0"/>
          </w:tcPr>
          <w:p>
            <w:pPr>
              <w:jc w:val="right"/>
              <w:ind w:right="260"/>
              <w:spacing w:after="0"/>
              <w:rPr>
                <w:sz w:val="20"/>
                <w:szCs w:val="20"/>
                <w:color w:val="auto"/>
              </w:rPr>
            </w:pPr>
            <w:r>
              <w:rPr>
                <w:rFonts w:ascii="Arial" w:cs="Arial" w:eastAsia="Arial" w:hAnsi="Arial"/>
                <w:sz w:val="18"/>
                <w:szCs w:val="18"/>
                <w:color w:val="auto"/>
              </w:rPr>
              <w:t>9,487</w:t>
            </w:r>
          </w:p>
        </w:tc>
        <w:tc>
          <w:tcPr>
            <w:tcW w:w="220" w:type="dxa"/>
            <w:vAlign w:val="bottom"/>
            <w:shd w:val="clear" w:color="auto" w:fill="C0C0C0"/>
          </w:tcPr>
          <w:p>
            <w:pPr>
              <w:spacing w:after="0"/>
              <w:rPr>
                <w:sz w:val="21"/>
                <w:szCs w:val="21"/>
                <w:color w:val="auto"/>
              </w:rPr>
            </w:pP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(2,624)</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880" w:type="dxa"/>
            <w:vAlign w:val="bottom"/>
          </w:tcPr>
          <w:p>
            <w:pPr>
              <w:ind w:left="300"/>
              <w:spacing w:after="0"/>
              <w:rPr>
                <w:sz w:val="20"/>
                <w:szCs w:val="20"/>
                <w:color w:val="auto"/>
              </w:rPr>
            </w:pPr>
            <w:r>
              <w:rPr>
                <w:rFonts w:ascii="Arial" w:cs="Arial" w:eastAsia="Arial" w:hAnsi="Arial"/>
                <w:sz w:val="18"/>
                <w:szCs w:val="18"/>
                <w:color w:val="auto"/>
              </w:rPr>
              <w:t>Accumulated other comprehensive income</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12,906</w:t>
            </w:r>
          </w:p>
        </w:tc>
        <w:tc>
          <w:tcPr>
            <w:tcW w:w="220" w:type="dxa"/>
            <w:vAlign w:val="bottom"/>
          </w:tcPr>
          <w:p>
            <w:pPr>
              <w:spacing w:after="0"/>
              <w:rPr>
                <w:sz w:val="20"/>
                <w:szCs w:val="20"/>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7,062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80" w:type="dxa"/>
            <w:vAlign w:val="bottom"/>
            <w:vMerge w:val="restart"/>
            <w:shd w:val="clear" w:color="auto" w:fill="C0C0C0"/>
          </w:tcPr>
          <w:p>
            <w:pPr>
              <w:ind w:left="300"/>
              <w:spacing w:after="0"/>
              <w:rPr>
                <w:sz w:val="20"/>
                <w:szCs w:val="20"/>
                <w:color w:val="auto"/>
              </w:rPr>
            </w:pPr>
            <w:r>
              <w:rPr>
                <w:rFonts w:ascii="Arial" w:cs="Arial" w:eastAsia="Arial" w:hAnsi="Arial"/>
                <w:sz w:val="18"/>
                <w:szCs w:val="18"/>
                <w:color w:val="auto"/>
              </w:rPr>
              <w:t>Total Photronics, Inc. shareholders' equity</w:t>
            </w:r>
          </w:p>
        </w:tc>
        <w:tc>
          <w:tcPr>
            <w:tcW w:w="280" w:type="dxa"/>
            <w:vAlign w:val="bottom"/>
            <w:shd w:val="clear" w:color="auto" w:fill="C0C0C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shd w:val="clear" w:color="auto" w:fill="C0C0C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8880" w:type="dxa"/>
            <w:vAlign w:val="bottom"/>
            <w:vMerge w:val="continue"/>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1020" w:type="dxa"/>
            <w:vAlign w:val="bottom"/>
            <w:gridSpan w:val="2"/>
            <w:shd w:val="clear" w:color="auto" w:fill="C0C0C0"/>
          </w:tcPr>
          <w:p>
            <w:pPr>
              <w:jc w:val="right"/>
              <w:ind w:right="260"/>
              <w:spacing w:after="0"/>
              <w:rPr>
                <w:sz w:val="20"/>
                <w:szCs w:val="20"/>
                <w:color w:val="auto"/>
              </w:rPr>
            </w:pPr>
            <w:r>
              <w:rPr>
                <w:rFonts w:ascii="Arial" w:cs="Arial" w:eastAsia="Arial" w:hAnsi="Arial"/>
                <w:sz w:val="18"/>
                <w:szCs w:val="18"/>
                <w:color w:val="auto"/>
              </w:rPr>
              <w:t>460,292</w:t>
            </w:r>
          </w:p>
        </w:tc>
        <w:tc>
          <w:tcPr>
            <w:tcW w:w="220" w:type="dxa"/>
            <w:vAlign w:val="bottom"/>
            <w:shd w:val="clear" w:color="auto" w:fill="C0C0C0"/>
          </w:tcPr>
          <w:p>
            <w:pPr>
              <w:spacing w:after="0"/>
              <w:rPr>
                <w:sz w:val="21"/>
                <w:szCs w:val="21"/>
                <w:color w:val="auto"/>
              </w:rPr>
            </w:pPr>
          </w:p>
        </w:tc>
        <w:tc>
          <w:tcPr>
            <w:tcW w:w="8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441,801</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880" w:type="dxa"/>
            <w:vAlign w:val="bottom"/>
          </w:tcPr>
          <w:p>
            <w:pPr>
              <w:ind w:left="300"/>
              <w:spacing w:after="0"/>
              <w:rPr>
                <w:sz w:val="20"/>
                <w:szCs w:val="20"/>
                <w:color w:val="auto"/>
              </w:rPr>
            </w:pPr>
            <w:r>
              <w:rPr>
                <w:rFonts w:ascii="Arial" w:cs="Arial" w:eastAsia="Arial" w:hAnsi="Arial"/>
                <w:sz w:val="18"/>
                <w:szCs w:val="18"/>
                <w:color w:val="auto"/>
              </w:rPr>
              <w:t>Noncontrolling interests</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58,170</w:t>
            </w:r>
          </w:p>
        </w:tc>
        <w:tc>
          <w:tcPr>
            <w:tcW w:w="220" w:type="dxa"/>
            <w:vAlign w:val="bottom"/>
          </w:tcPr>
          <w:p>
            <w:pPr>
              <w:spacing w:after="0"/>
              <w:rPr>
                <w:sz w:val="20"/>
                <w:szCs w:val="20"/>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54,142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80" w:type="dxa"/>
            <w:vAlign w:val="bottom"/>
            <w:vMerge w:val="restart"/>
            <w:shd w:val="clear" w:color="auto" w:fill="C0C0C0"/>
          </w:tcPr>
          <w:p>
            <w:pPr>
              <w:spacing w:after="0"/>
              <w:rPr>
                <w:sz w:val="20"/>
                <w:szCs w:val="20"/>
                <w:color w:val="auto"/>
              </w:rPr>
            </w:pPr>
            <w:r>
              <w:rPr>
                <w:rFonts w:ascii="Arial" w:cs="Arial" w:eastAsia="Arial" w:hAnsi="Arial"/>
                <w:sz w:val="18"/>
                <w:szCs w:val="18"/>
                <w:color w:val="auto"/>
              </w:rPr>
              <w:t>Total equity</w:t>
            </w:r>
          </w:p>
        </w:tc>
        <w:tc>
          <w:tcPr>
            <w:tcW w:w="280" w:type="dxa"/>
            <w:vAlign w:val="bottom"/>
            <w:shd w:val="clear" w:color="auto" w:fill="C0C0C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shd w:val="clear" w:color="auto" w:fill="C0C0C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 w:type="dxa"/>
            <w:vAlign w:val="bottom"/>
          </w:tcPr>
          <w:p>
            <w:pPr>
              <w:spacing w:after="0"/>
              <w:rPr>
                <w:sz w:val="20"/>
                <w:szCs w:val="20"/>
                <w:color w:val="auto"/>
              </w:rPr>
            </w:pPr>
          </w:p>
        </w:tc>
        <w:tc>
          <w:tcPr>
            <w:tcW w:w="8880" w:type="dxa"/>
            <w:vAlign w:val="bottom"/>
            <w:vMerge w:val="continue"/>
            <w:shd w:val="clear" w:color="auto" w:fill="C0C0C0"/>
          </w:tcPr>
          <w:p>
            <w:pPr>
              <w:spacing w:after="0"/>
              <w:rPr>
                <w:sz w:val="20"/>
                <w:szCs w:val="20"/>
                <w:color w:val="auto"/>
              </w:rPr>
            </w:pPr>
          </w:p>
        </w:tc>
        <w:tc>
          <w:tcPr>
            <w:tcW w:w="280" w:type="dxa"/>
            <w:vAlign w:val="bottom"/>
            <w:shd w:val="clear" w:color="auto" w:fill="C0C0C0"/>
          </w:tcPr>
          <w:p>
            <w:pPr>
              <w:spacing w:after="0"/>
              <w:rPr>
                <w:sz w:val="20"/>
                <w:szCs w:val="20"/>
                <w:color w:val="auto"/>
              </w:rPr>
            </w:pPr>
          </w:p>
        </w:tc>
        <w:tc>
          <w:tcPr>
            <w:tcW w:w="180" w:type="dxa"/>
            <w:vAlign w:val="bottom"/>
            <w:shd w:val="clear" w:color="auto" w:fill="C0C0C0"/>
          </w:tcPr>
          <w:p>
            <w:pPr>
              <w:spacing w:after="0"/>
              <w:rPr>
                <w:sz w:val="20"/>
                <w:szCs w:val="20"/>
                <w:color w:val="auto"/>
              </w:rPr>
            </w:pPr>
          </w:p>
        </w:tc>
        <w:tc>
          <w:tcPr>
            <w:tcW w:w="1020" w:type="dxa"/>
            <w:vAlign w:val="bottom"/>
            <w:gridSpan w:val="2"/>
            <w:shd w:val="clear" w:color="auto" w:fill="C0C0C0"/>
          </w:tcPr>
          <w:p>
            <w:pPr>
              <w:jc w:val="right"/>
              <w:ind w:right="260"/>
              <w:spacing w:after="0"/>
              <w:rPr>
                <w:sz w:val="20"/>
                <w:szCs w:val="20"/>
                <w:color w:val="auto"/>
              </w:rPr>
            </w:pPr>
            <w:r>
              <w:rPr>
                <w:rFonts w:ascii="Arial" w:cs="Arial" w:eastAsia="Arial" w:hAnsi="Arial"/>
                <w:sz w:val="18"/>
                <w:szCs w:val="18"/>
                <w:color w:val="auto"/>
              </w:rPr>
              <w:t>518,462</w:t>
            </w:r>
          </w:p>
        </w:tc>
        <w:tc>
          <w:tcPr>
            <w:tcW w:w="220" w:type="dxa"/>
            <w:vAlign w:val="bottom"/>
            <w:shd w:val="clear" w:color="auto" w:fill="C0C0C0"/>
          </w:tcPr>
          <w:p>
            <w:pPr>
              <w:spacing w:after="0"/>
              <w:rPr>
                <w:sz w:val="20"/>
                <w:szCs w:val="20"/>
                <w:color w:val="auto"/>
              </w:rPr>
            </w:pPr>
          </w:p>
        </w:tc>
        <w:tc>
          <w:tcPr>
            <w:tcW w:w="8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495,943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 w:type="dxa"/>
            <w:vAlign w:val="bottom"/>
          </w:tcPr>
          <w:p>
            <w:pPr>
              <w:spacing w:after="0"/>
              <w:rPr>
                <w:sz w:val="20"/>
                <w:szCs w:val="20"/>
                <w:color w:val="auto"/>
              </w:rPr>
            </w:pPr>
          </w:p>
        </w:tc>
        <w:tc>
          <w:tcPr>
            <w:tcW w:w="8880" w:type="dxa"/>
            <w:vAlign w:val="bottom"/>
          </w:tcPr>
          <w:p>
            <w:pPr>
              <w:spacing w:after="0"/>
              <w:rPr>
                <w:sz w:val="20"/>
                <w:szCs w:val="20"/>
                <w:color w:val="auto"/>
              </w:rPr>
            </w:pP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740,549</w:t>
            </w:r>
          </w:p>
        </w:tc>
        <w:tc>
          <w:tcPr>
            <w:tcW w:w="220" w:type="dxa"/>
            <w:vAlign w:val="bottom"/>
          </w:tcPr>
          <w:p>
            <w:pPr>
              <w:jc w:val="right"/>
              <w:ind w:right="61"/>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703,879</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8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shd w:val="clear" w:color="auto" w:fill="000000"/>
          </w:tcPr>
          <w:p>
            <w:pPr>
              <w:spacing w:after="0"/>
              <w:rPr>
                <w:sz w:val="3"/>
                <w:szCs w:val="3"/>
                <w:color w:val="auto"/>
              </w:rPr>
            </w:pPr>
          </w:p>
        </w:tc>
        <w:tc>
          <w:tcPr>
            <w:tcW w:w="740" w:type="dxa"/>
            <w:vAlign w:val="bottom"/>
            <w:shd w:val="clear" w:color="auto" w:fill="000000"/>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shd w:val="clear" w:color="auto" w:fill="000000"/>
          </w:tcPr>
          <w:p>
            <w:pPr>
              <w:spacing w:after="0"/>
              <w:rPr>
                <w:sz w:val="3"/>
                <w:szCs w:val="3"/>
                <w:color w:val="auto"/>
              </w:rPr>
            </w:pPr>
          </w:p>
        </w:tc>
        <w:tc>
          <w:tcPr>
            <w:tcW w:w="820" w:type="dxa"/>
            <w:vAlign w:val="bottom"/>
            <w:shd w:val="clear" w:color="auto" w:fill="000000"/>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PHOTRONICS,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58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4"/>
          </w:tcPr>
          <w:p>
            <w:pPr>
              <w:jc w:val="right"/>
              <w:ind w:right="312"/>
              <w:spacing w:after="0"/>
              <w:rPr>
                <w:sz w:val="20"/>
                <w:szCs w:val="20"/>
                <w:color w:val="auto"/>
              </w:rPr>
            </w:pPr>
            <w:r>
              <w:rPr>
                <w:rFonts w:ascii="Arial" w:cs="Arial" w:eastAsia="Arial" w:hAnsi="Arial"/>
                <w:sz w:val="18"/>
                <w:szCs w:val="18"/>
                <w:b w:val="1"/>
                <w:bCs w:val="1"/>
                <w:color w:val="auto"/>
                <w:w w:val="98"/>
              </w:rPr>
              <w:t>Three Months Ended</w:t>
            </w:r>
          </w:p>
        </w:tc>
      </w:tr>
      <w:tr>
        <w:trPr>
          <w:trHeight w:val="228"/>
        </w:trPr>
        <w:tc>
          <w:tcPr>
            <w:tcW w:w="658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January 30,</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w w:val="88"/>
              </w:rPr>
              <w:t>January 31,</w:t>
            </w:r>
          </w:p>
        </w:tc>
      </w:tr>
      <w:tr>
        <w:trPr>
          <w:trHeight w:val="251"/>
        </w:trPr>
        <w:tc>
          <w:tcPr>
            <w:tcW w:w="6580" w:type="dxa"/>
            <w:vAlign w:val="bottom"/>
            <w:tcBorders>
              <w:bottom w:val="single" w:sz="8" w:color="C0C0C0"/>
            </w:tcBorders>
          </w:tcPr>
          <w:p>
            <w:pPr>
              <w:spacing w:after="0"/>
              <w:rPr>
                <w:sz w:val="21"/>
                <w:szCs w:val="21"/>
                <w:color w:val="auto"/>
              </w:rPr>
            </w:pPr>
          </w:p>
        </w:tc>
        <w:tc>
          <w:tcPr>
            <w:tcW w:w="2460" w:type="dxa"/>
            <w:vAlign w:val="bottom"/>
            <w:tcBorders>
              <w:bottom w:val="single" w:sz="8" w:color="C0C0C0"/>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2011</w:t>
            </w:r>
          </w:p>
        </w:tc>
        <w:tc>
          <w:tcPr>
            <w:tcW w:w="280" w:type="dxa"/>
            <w:vAlign w:val="bottom"/>
            <w:tcBorders>
              <w:bottom w:val="single" w:sz="8" w:color="C0C0C0"/>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2010</w:t>
            </w:r>
          </w:p>
        </w:tc>
      </w:tr>
      <w:tr>
        <w:trPr>
          <w:trHeight w:val="243"/>
        </w:trPr>
        <w:tc>
          <w:tcPr>
            <w:tcW w:w="6580" w:type="dxa"/>
            <w:vAlign w:val="bottom"/>
            <w:shd w:val="clear" w:color="auto" w:fill="C0C0C0"/>
          </w:tcPr>
          <w:p>
            <w:pPr>
              <w:spacing w:after="0"/>
              <w:rPr>
                <w:sz w:val="20"/>
                <w:szCs w:val="20"/>
                <w:color w:val="auto"/>
              </w:rPr>
            </w:pPr>
            <w:r>
              <w:rPr>
                <w:rFonts w:ascii="Arial" w:cs="Arial" w:eastAsia="Arial" w:hAnsi="Arial"/>
                <w:sz w:val="18"/>
                <w:szCs w:val="18"/>
                <w:color w:val="auto"/>
              </w:rPr>
              <w:t>Net sales</w:t>
            </w:r>
          </w:p>
        </w:tc>
        <w:tc>
          <w:tcPr>
            <w:tcW w:w="2660" w:type="dxa"/>
            <w:vAlign w:val="bottom"/>
            <w:gridSpan w:val="2"/>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8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120, 823</w:t>
            </w:r>
          </w:p>
        </w:tc>
        <w:tc>
          <w:tcPr>
            <w:tcW w:w="36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98,197</w:t>
            </w:r>
          </w:p>
        </w:tc>
      </w:tr>
      <w:tr>
        <w:trPr>
          <w:trHeight w:val="235"/>
        </w:trPr>
        <w:tc>
          <w:tcPr>
            <w:tcW w:w="6580" w:type="dxa"/>
            <w:vAlign w:val="bottom"/>
          </w:tcPr>
          <w:p>
            <w:pPr>
              <w:spacing w:after="0"/>
              <w:rPr>
                <w:sz w:val="20"/>
                <w:szCs w:val="20"/>
                <w:color w:val="auto"/>
              </w:rPr>
            </w:pPr>
            <w:r>
              <w:rPr>
                <w:rFonts w:ascii="Arial" w:cs="Arial" w:eastAsia="Arial" w:hAnsi="Arial"/>
                <w:sz w:val="18"/>
                <w:szCs w:val="18"/>
                <w:color w:val="auto"/>
              </w:rPr>
              <w:t>Costs and expenses:</w:t>
            </w:r>
          </w:p>
        </w:tc>
        <w:tc>
          <w:tcPr>
            <w:tcW w:w="2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51"/>
        </w:trPr>
        <w:tc>
          <w:tcPr>
            <w:tcW w:w="6580" w:type="dxa"/>
            <w:vAlign w:val="bottom"/>
            <w:shd w:val="clear" w:color="auto" w:fill="C0C0C0"/>
          </w:tcPr>
          <w:p>
            <w:pPr>
              <w:ind w:left="320"/>
              <w:spacing w:after="0"/>
              <w:rPr>
                <w:sz w:val="20"/>
                <w:szCs w:val="20"/>
                <w:color w:val="auto"/>
              </w:rPr>
            </w:pPr>
            <w:r>
              <w:rPr>
                <w:rFonts w:ascii="Arial" w:cs="Arial" w:eastAsia="Arial" w:hAnsi="Arial"/>
                <w:sz w:val="18"/>
                <w:szCs w:val="18"/>
                <w:color w:val="auto"/>
              </w:rPr>
              <w:t>Cost of sales</w:t>
            </w:r>
          </w:p>
        </w:tc>
        <w:tc>
          <w:tcPr>
            <w:tcW w:w="24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(90,229)</w:t>
            </w:r>
          </w:p>
        </w:tc>
        <w:tc>
          <w:tcPr>
            <w:tcW w:w="28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9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(80,020)</w:t>
            </w:r>
          </w:p>
        </w:tc>
      </w:tr>
      <w:tr>
        <w:trPr>
          <w:trHeight w:val="235"/>
        </w:trPr>
        <w:tc>
          <w:tcPr>
            <w:tcW w:w="6580" w:type="dxa"/>
            <w:vAlign w:val="bottom"/>
          </w:tcPr>
          <w:p>
            <w:pPr>
              <w:ind w:left="320"/>
              <w:spacing w:after="0"/>
              <w:rPr>
                <w:sz w:val="20"/>
                <w:szCs w:val="20"/>
                <w:color w:val="auto"/>
              </w:rPr>
            </w:pPr>
            <w:r>
              <w:rPr>
                <w:rFonts w:ascii="Arial" w:cs="Arial" w:eastAsia="Arial" w:hAnsi="Arial"/>
                <w:sz w:val="18"/>
                <w:szCs w:val="18"/>
                <w:color w:val="auto"/>
              </w:rPr>
              <w:t>Selling, general and administrative</w:t>
            </w:r>
          </w:p>
        </w:tc>
        <w:tc>
          <w:tcPr>
            <w:tcW w:w="2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(10,713)</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(10,149)</w:t>
            </w:r>
          </w:p>
        </w:tc>
      </w:tr>
      <w:tr>
        <w:trPr>
          <w:trHeight w:val="251"/>
        </w:trPr>
        <w:tc>
          <w:tcPr>
            <w:tcW w:w="6580" w:type="dxa"/>
            <w:vAlign w:val="bottom"/>
            <w:shd w:val="clear" w:color="auto" w:fill="C0C0C0"/>
          </w:tcPr>
          <w:p>
            <w:pPr>
              <w:ind w:left="320"/>
              <w:spacing w:after="0"/>
              <w:rPr>
                <w:sz w:val="20"/>
                <w:szCs w:val="20"/>
                <w:color w:val="auto"/>
              </w:rPr>
            </w:pPr>
            <w:r>
              <w:rPr>
                <w:rFonts w:ascii="Arial" w:cs="Arial" w:eastAsia="Arial" w:hAnsi="Arial"/>
                <w:sz w:val="18"/>
                <w:szCs w:val="18"/>
                <w:color w:val="auto"/>
              </w:rPr>
              <w:t>Research and development</w:t>
            </w:r>
          </w:p>
        </w:tc>
        <w:tc>
          <w:tcPr>
            <w:tcW w:w="24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(3,771)</w:t>
            </w:r>
          </w:p>
        </w:tc>
        <w:tc>
          <w:tcPr>
            <w:tcW w:w="28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9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(3,954)</w:t>
            </w:r>
          </w:p>
        </w:tc>
      </w:tr>
      <w:tr>
        <w:trPr>
          <w:trHeight w:val="237"/>
        </w:trPr>
        <w:tc>
          <w:tcPr>
            <w:tcW w:w="6580" w:type="dxa"/>
            <w:vAlign w:val="bottom"/>
            <w:tcBorders>
              <w:bottom w:val="single" w:sz="8" w:color="C0C0C0"/>
            </w:tcBorders>
          </w:tcPr>
          <w:p>
            <w:pPr>
              <w:ind w:left="320"/>
              <w:spacing w:after="0"/>
              <w:rPr>
                <w:sz w:val="20"/>
                <w:szCs w:val="20"/>
                <w:color w:val="auto"/>
              </w:rPr>
            </w:pPr>
            <w:r>
              <w:rPr>
                <w:rFonts w:ascii="Arial" w:cs="Arial" w:eastAsia="Arial" w:hAnsi="Arial"/>
                <w:sz w:val="18"/>
                <w:szCs w:val="18"/>
                <w:color w:val="auto"/>
              </w:rPr>
              <w:t>Consolidation, restructuring and related charges</w:t>
            </w:r>
          </w:p>
        </w:tc>
        <w:tc>
          <w:tcPr>
            <w:tcW w:w="2460" w:type="dxa"/>
            <w:vAlign w:val="bottom"/>
            <w:tcBorders>
              <w:bottom w:val="single" w:sz="8" w:color="C0C0C0"/>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0C0C0"/>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w:t>
            </w:r>
          </w:p>
        </w:tc>
      </w:tr>
      <w:tr>
        <w:trPr>
          <w:trHeight w:val="243"/>
        </w:trPr>
        <w:tc>
          <w:tcPr>
            <w:tcW w:w="6580" w:type="dxa"/>
            <w:vAlign w:val="bottom"/>
            <w:shd w:val="clear" w:color="auto" w:fill="C0C0C0"/>
          </w:tcPr>
          <w:p>
            <w:pPr>
              <w:spacing w:after="0"/>
              <w:rPr>
                <w:sz w:val="20"/>
                <w:szCs w:val="20"/>
                <w:color w:val="auto"/>
              </w:rPr>
            </w:pPr>
            <w:r>
              <w:rPr>
                <w:rFonts w:ascii="Arial" w:cs="Arial" w:eastAsia="Arial" w:hAnsi="Arial"/>
                <w:sz w:val="18"/>
                <w:szCs w:val="18"/>
                <w:color w:val="auto"/>
              </w:rPr>
              <w:t>Operating income</w:t>
            </w:r>
          </w:p>
        </w:tc>
        <w:tc>
          <w:tcPr>
            <w:tcW w:w="24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16,110</w:t>
            </w:r>
          </w:p>
        </w:tc>
        <w:tc>
          <w:tcPr>
            <w:tcW w:w="28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9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3,881</w:t>
            </w:r>
          </w:p>
        </w:tc>
      </w:tr>
      <w:tr>
        <w:trPr>
          <w:trHeight w:val="235"/>
        </w:trPr>
        <w:tc>
          <w:tcPr>
            <w:tcW w:w="6580" w:type="dxa"/>
            <w:vAlign w:val="bottom"/>
          </w:tcPr>
          <w:p>
            <w:pPr>
              <w:spacing w:after="0"/>
              <w:rPr>
                <w:sz w:val="20"/>
                <w:szCs w:val="20"/>
                <w:color w:val="auto"/>
              </w:rPr>
            </w:pPr>
            <w:r>
              <w:rPr>
                <w:rFonts w:ascii="Arial" w:cs="Arial" w:eastAsia="Arial" w:hAnsi="Arial"/>
                <w:sz w:val="18"/>
                <w:szCs w:val="18"/>
                <w:color w:val="auto"/>
              </w:rPr>
              <w:t>Other income (expense):</w:t>
            </w:r>
          </w:p>
        </w:tc>
        <w:tc>
          <w:tcPr>
            <w:tcW w:w="2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51"/>
        </w:trPr>
        <w:tc>
          <w:tcPr>
            <w:tcW w:w="6580" w:type="dxa"/>
            <w:vAlign w:val="bottom"/>
            <w:shd w:val="clear" w:color="auto" w:fill="C0C0C0"/>
          </w:tcPr>
          <w:p>
            <w:pPr>
              <w:ind w:left="320"/>
              <w:spacing w:after="0"/>
              <w:rPr>
                <w:sz w:val="20"/>
                <w:szCs w:val="20"/>
                <w:color w:val="auto"/>
              </w:rPr>
            </w:pPr>
            <w:r>
              <w:rPr>
                <w:rFonts w:ascii="Arial" w:cs="Arial" w:eastAsia="Arial" w:hAnsi="Arial"/>
                <w:sz w:val="18"/>
                <w:szCs w:val="18"/>
                <w:color w:val="auto"/>
              </w:rPr>
              <w:t>Interest expense</w:t>
            </w:r>
          </w:p>
        </w:tc>
        <w:tc>
          <w:tcPr>
            <w:tcW w:w="24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(1,711)</w:t>
            </w:r>
          </w:p>
        </w:tc>
        <w:tc>
          <w:tcPr>
            <w:tcW w:w="28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9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(2,921)</w:t>
            </w:r>
          </w:p>
        </w:tc>
      </w:tr>
      <w:tr>
        <w:trPr>
          <w:trHeight w:val="237"/>
        </w:trPr>
        <w:tc>
          <w:tcPr>
            <w:tcW w:w="6580" w:type="dxa"/>
            <w:vAlign w:val="bottom"/>
            <w:tcBorders>
              <w:bottom w:val="single" w:sz="8" w:color="C0C0C0"/>
            </w:tcBorders>
          </w:tcPr>
          <w:p>
            <w:pPr>
              <w:ind w:left="320"/>
              <w:spacing w:after="0"/>
              <w:rPr>
                <w:sz w:val="20"/>
                <w:szCs w:val="20"/>
                <w:color w:val="auto"/>
              </w:rPr>
            </w:pPr>
            <w:r>
              <w:rPr>
                <w:rFonts w:ascii="Arial" w:cs="Arial" w:eastAsia="Arial" w:hAnsi="Arial"/>
                <w:sz w:val="18"/>
                <w:szCs w:val="18"/>
                <w:color w:val="auto"/>
              </w:rPr>
              <w:t>Investment and other income, net</w:t>
            </w:r>
          </w:p>
        </w:tc>
        <w:tc>
          <w:tcPr>
            <w:tcW w:w="2460" w:type="dxa"/>
            <w:vAlign w:val="bottom"/>
            <w:tcBorders>
              <w:bottom w:val="single" w:sz="8" w:color="C0C0C0"/>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2,668</w:t>
            </w:r>
          </w:p>
        </w:tc>
        <w:tc>
          <w:tcPr>
            <w:tcW w:w="280" w:type="dxa"/>
            <w:vAlign w:val="bottom"/>
            <w:tcBorders>
              <w:bottom w:val="single" w:sz="8" w:color="C0C0C0"/>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468</w:t>
            </w:r>
          </w:p>
        </w:tc>
      </w:tr>
      <w:tr>
        <w:trPr>
          <w:trHeight w:val="243"/>
        </w:trPr>
        <w:tc>
          <w:tcPr>
            <w:tcW w:w="6580" w:type="dxa"/>
            <w:vAlign w:val="bottom"/>
            <w:shd w:val="clear" w:color="auto" w:fill="C0C0C0"/>
          </w:tcPr>
          <w:p>
            <w:pPr>
              <w:spacing w:after="0"/>
              <w:rPr>
                <w:sz w:val="20"/>
                <w:szCs w:val="20"/>
                <w:color w:val="auto"/>
              </w:rPr>
            </w:pPr>
            <w:r>
              <w:rPr>
                <w:rFonts w:ascii="Arial" w:cs="Arial" w:eastAsia="Arial" w:hAnsi="Arial"/>
                <w:sz w:val="18"/>
                <w:szCs w:val="18"/>
                <w:color w:val="auto"/>
              </w:rPr>
              <w:t>Income before income taxes</w:t>
            </w:r>
          </w:p>
        </w:tc>
        <w:tc>
          <w:tcPr>
            <w:tcW w:w="24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17,067</w:t>
            </w:r>
          </w:p>
        </w:tc>
        <w:tc>
          <w:tcPr>
            <w:tcW w:w="28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9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1,428</w:t>
            </w:r>
          </w:p>
        </w:tc>
      </w:tr>
      <w:tr>
        <w:trPr>
          <w:trHeight w:val="237"/>
        </w:trPr>
        <w:tc>
          <w:tcPr>
            <w:tcW w:w="6580" w:type="dxa"/>
            <w:vAlign w:val="bottom"/>
            <w:tcBorders>
              <w:bottom w:val="single" w:sz="8" w:color="C0C0C0"/>
            </w:tcBorders>
          </w:tcPr>
          <w:p>
            <w:pPr>
              <w:spacing w:after="0"/>
              <w:rPr>
                <w:sz w:val="20"/>
                <w:szCs w:val="20"/>
                <w:color w:val="auto"/>
              </w:rPr>
            </w:pPr>
            <w:r>
              <w:rPr>
                <w:rFonts w:ascii="Arial" w:cs="Arial" w:eastAsia="Arial" w:hAnsi="Arial"/>
                <w:sz w:val="18"/>
                <w:szCs w:val="18"/>
                <w:color w:val="auto"/>
              </w:rPr>
              <w:t>Income tax provision</w:t>
            </w:r>
          </w:p>
        </w:tc>
        <w:tc>
          <w:tcPr>
            <w:tcW w:w="2460" w:type="dxa"/>
            <w:vAlign w:val="bottom"/>
            <w:tcBorders>
              <w:bottom w:val="single" w:sz="8" w:color="C0C0C0"/>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(3,483)</w:t>
            </w:r>
          </w:p>
        </w:tc>
        <w:tc>
          <w:tcPr>
            <w:tcW w:w="280" w:type="dxa"/>
            <w:vAlign w:val="bottom"/>
            <w:tcBorders>
              <w:bottom w:val="single" w:sz="8" w:color="C0C0C0"/>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(1,020)</w:t>
            </w:r>
          </w:p>
        </w:tc>
      </w:tr>
      <w:tr>
        <w:trPr>
          <w:trHeight w:val="243"/>
        </w:trPr>
        <w:tc>
          <w:tcPr>
            <w:tcW w:w="6580" w:type="dxa"/>
            <w:vAlign w:val="bottom"/>
            <w:shd w:val="clear" w:color="auto" w:fill="C0C0C0"/>
          </w:tcPr>
          <w:p>
            <w:pPr>
              <w:spacing w:after="0"/>
              <w:rPr>
                <w:sz w:val="20"/>
                <w:szCs w:val="20"/>
                <w:color w:val="auto"/>
              </w:rPr>
            </w:pPr>
            <w:r>
              <w:rPr>
                <w:rFonts w:ascii="Arial" w:cs="Arial" w:eastAsia="Arial" w:hAnsi="Arial"/>
                <w:sz w:val="18"/>
                <w:szCs w:val="18"/>
                <w:color w:val="auto"/>
              </w:rPr>
              <w:t>Net income</w:t>
            </w:r>
          </w:p>
        </w:tc>
        <w:tc>
          <w:tcPr>
            <w:tcW w:w="24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13,584</w:t>
            </w:r>
          </w:p>
        </w:tc>
        <w:tc>
          <w:tcPr>
            <w:tcW w:w="28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9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408</w:t>
            </w:r>
          </w:p>
        </w:tc>
      </w:tr>
      <w:tr>
        <w:trPr>
          <w:trHeight w:val="237"/>
        </w:trPr>
        <w:tc>
          <w:tcPr>
            <w:tcW w:w="6580" w:type="dxa"/>
            <w:vAlign w:val="bottom"/>
            <w:tcBorders>
              <w:bottom w:val="single" w:sz="8" w:color="C0C0C0"/>
            </w:tcBorders>
          </w:tcPr>
          <w:p>
            <w:pPr>
              <w:spacing w:after="0"/>
              <w:rPr>
                <w:sz w:val="20"/>
                <w:szCs w:val="20"/>
                <w:color w:val="auto"/>
              </w:rPr>
            </w:pPr>
            <w:r>
              <w:rPr>
                <w:rFonts w:ascii="Arial" w:cs="Arial" w:eastAsia="Arial" w:hAnsi="Arial"/>
                <w:sz w:val="18"/>
                <w:szCs w:val="18"/>
                <w:color w:val="auto"/>
              </w:rPr>
              <w:t>Net income attributable to noncontrolling interests</w:t>
            </w:r>
          </w:p>
        </w:tc>
        <w:tc>
          <w:tcPr>
            <w:tcW w:w="2460" w:type="dxa"/>
            <w:vAlign w:val="bottom"/>
            <w:tcBorders>
              <w:bottom w:val="single" w:sz="8" w:color="C0C0C0"/>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(1,473)</w:t>
            </w:r>
          </w:p>
        </w:tc>
        <w:tc>
          <w:tcPr>
            <w:tcW w:w="280" w:type="dxa"/>
            <w:vAlign w:val="bottom"/>
            <w:tcBorders>
              <w:bottom w:val="single" w:sz="8" w:color="C0C0C0"/>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w:t>
            </w:r>
          </w:p>
        </w:tc>
      </w:tr>
      <w:tr>
        <w:trPr>
          <w:trHeight w:val="262"/>
        </w:trPr>
        <w:tc>
          <w:tcPr>
            <w:tcW w:w="6580" w:type="dxa"/>
            <w:vAlign w:val="bottom"/>
            <w:shd w:val="clear" w:color="auto" w:fill="C0C0C0"/>
          </w:tcPr>
          <w:p>
            <w:pPr>
              <w:spacing w:after="0"/>
              <w:rPr>
                <w:sz w:val="20"/>
                <w:szCs w:val="20"/>
                <w:color w:val="auto"/>
              </w:rPr>
            </w:pPr>
            <w:r>
              <w:rPr>
                <w:rFonts w:ascii="Arial" w:cs="Arial" w:eastAsia="Arial" w:hAnsi="Arial"/>
                <w:sz w:val="18"/>
                <w:szCs w:val="18"/>
                <w:color w:val="auto"/>
              </w:rPr>
              <w:t>Net income attributable to Photronics, Inc.</w:t>
            </w:r>
          </w:p>
        </w:tc>
        <w:tc>
          <w:tcPr>
            <w:tcW w:w="2660" w:type="dxa"/>
            <w:vAlign w:val="bottom"/>
            <w:gridSpan w:val="2"/>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8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12,111</w:t>
            </w:r>
          </w:p>
        </w:tc>
        <w:tc>
          <w:tcPr>
            <w:tcW w:w="36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213</w:t>
            </w:r>
          </w:p>
        </w:tc>
      </w:tr>
      <w:tr>
        <w:trPr>
          <w:trHeight w:val="223"/>
        </w:trPr>
        <w:tc>
          <w:tcPr>
            <w:tcW w:w="6580" w:type="dxa"/>
            <w:vAlign w:val="bottom"/>
            <w:tcBorders>
              <w:top w:val="single" w:sz="8" w:color="C0C0C0"/>
            </w:tcBorders>
          </w:tcPr>
          <w:p>
            <w:pPr>
              <w:spacing w:after="0"/>
              <w:rPr>
                <w:sz w:val="20"/>
                <w:szCs w:val="20"/>
                <w:color w:val="auto"/>
              </w:rPr>
            </w:pPr>
            <w:r>
              <w:rPr>
                <w:rFonts w:ascii="Arial" w:cs="Arial" w:eastAsia="Arial" w:hAnsi="Arial"/>
                <w:sz w:val="18"/>
                <w:szCs w:val="18"/>
                <w:color w:val="auto"/>
              </w:rPr>
              <w:t>Earnings per share:</w:t>
            </w:r>
          </w:p>
        </w:tc>
        <w:tc>
          <w:tcPr>
            <w:tcW w:w="2460" w:type="dxa"/>
            <w:vAlign w:val="bottom"/>
            <w:tcBorders>
              <w:top w:val="single" w:sz="8" w:color="C0C0C0"/>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80" w:type="dxa"/>
            <w:vAlign w:val="bottom"/>
            <w:tcBorders>
              <w:top w:val="single" w:sz="8" w:color="C0C0C0"/>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r>
      <w:tr>
        <w:trPr>
          <w:trHeight w:val="250"/>
        </w:trPr>
        <w:tc>
          <w:tcPr>
            <w:tcW w:w="6580" w:type="dxa"/>
            <w:vAlign w:val="bottom"/>
            <w:shd w:val="clear" w:color="auto" w:fill="C0C0C0"/>
          </w:tcPr>
          <w:p>
            <w:pPr>
              <w:ind w:left="320"/>
              <w:spacing w:after="0"/>
              <w:rPr>
                <w:sz w:val="20"/>
                <w:szCs w:val="20"/>
                <w:color w:val="auto"/>
              </w:rPr>
            </w:pPr>
            <w:r>
              <w:rPr>
                <w:rFonts w:ascii="Arial" w:cs="Arial" w:eastAsia="Arial" w:hAnsi="Arial"/>
                <w:sz w:val="18"/>
                <w:szCs w:val="18"/>
                <w:color w:val="auto"/>
              </w:rPr>
              <w:t>Basic</w:t>
            </w:r>
          </w:p>
        </w:tc>
        <w:tc>
          <w:tcPr>
            <w:tcW w:w="2460" w:type="dxa"/>
            <w:vAlign w:val="bottom"/>
            <w:shd w:val="clear" w:color="auto" w:fill="C0C0C0"/>
          </w:tcPr>
          <w:p>
            <w:pPr>
              <w:spacing w:after="0"/>
              <w:rPr>
                <w:sz w:val="21"/>
                <w:szCs w:val="21"/>
                <w:color w:val="auto"/>
              </w:rPr>
            </w:pPr>
          </w:p>
        </w:tc>
        <w:tc>
          <w:tcPr>
            <w:tcW w:w="20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0.23</w:t>
            </w:r>
          </w:p>
        </w:tc>
        <w:tc>
          <w:tcPr>
            <w:tcW w:w="36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0.00</w:t>
            </w:r>
          </w:p>
        </w:tc>
      </w:tr>
      <w:tr>
        <w:trPr>
          <w:trHeight w:val="28"/>
        </w:trPr>
        <w:tc>
          <w:tcPr>
            <w:tcW w:w="6580" w:type="dxa"/>
            <w:vAlign w:val="bottom"/>
            <w:shd w:val="clear" w:color="auto" w:fill="C0C0C0"/>
          </w:tcPr>
          <w:p>
            <w:pPr>
              <w:spacing w:after="0"/>
              <w:rPr>
                <w:sz w:val="2"/>
                <w:szCs w:val="2"/>
                <w:color w:val="auto"/>
              </w:rPr>
            </w:pPr>
          </w:p>
        </w:tc>
        <w:tc>
          <w:tcPr>
            <w:tcW w:w="2460" w:type="dxa"/>
            <w:vAlign w:val="bottom"/>
            <w:shd w:val="clear" w:color="auto" w:fill="C0C0C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shd w:val="clear" w:color="auto" w:fill="C0C0C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r>
      <w:tr>
        <w:trPr>
          <w:trHeight w:val="250"/>
        </w:trPr>
        <w:tc>
          <w:tcPr>
            <w:tcW w:w="6580" w:type="dxa"/>
            <w:vAlign w:val="bottom"/>
          </w:tcPr>
          <w:p>
            <w:pPr>
              <w:ind w:left="320"/>
              <w:spacing w:after="0"/>
              <w:rPr>
                <w:sz w:val="20"/>
                <w:szCs w:val="20"/>
                <w:color w:val="auto"/>
              </w:rPr>
            </w:pPr>
            <w:r>
              <w:rPr>
                <w:rFonts w:ascii="Arial" w:cs="Arial" w:eastAsia="Arial" w:hAnsi="Arial"/>
                <w:sz w:val="18"/>
                <w:szCs w:val="18"/>
                <w:color w:val="auto"/>
              </w:rPr>
              <w:t>Diluted</w:t>
            </w:r>
          </w:p>
        </w:tc>
        <w:tc>
          <w:tcPr>
            <w:tcW w:w="2460" w:type="dxa"/>
            <w:vAlign w:val="bottom"/>
          </w:tcPr>
          <w:p>
            <w:pPr>
              <w:spacing w:after="0"/>
              <w:rPr>
                <w:sz w:val="21"/>
                <w:szCs w:val="21"/>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0.20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0.00</w:t>
            </w:r>
          </w:p>
        </w:tc>
      </w:tr>
      <w:tr>
        <w:trPr>
          <w:trHeight w:val="243"/>
        </w:trPr>
        <w:tc>
          <w:tcPr>
            <w:tcW w:w="6580" w:type="dxa"/>
            <w:vAlign w:val="bottom"/>
            <w:tcBorders>
              <w:top w:val="single" w:sz="8" w:color="C0C0C0"/>
            </w:tcBorders>
            <w:shd w:val="clear" w:color="auto" w:fill="C0C0C0"/>
          </w:tcPr>
          <w:p>
            <w:pPr>
              <w:spacing w:after="0"/>
              <w:rPr>
                <w:sz w:val="20"/>
                <w:szCs w:val="20"/>
                <w:color w:val="auto"/>
              </w:rPr>
            </w:pPr>
            <w:r>
              <w:rPr>
                <w:rFonts w:ascii="Arial" w:cs="Arial" w:eastAsia="Arial" w:hAnsi="Arial"/>
                <w:sz w:val="18"/>
                <w:szCs w:val="18"/>
                <w:color w:val="auto"/>
              </w:rPr>
              <w:t>Weighted-average number of common shares outstanding:</w:t>
            </w:r>
          </w:p>
        </w:tc>
        <w:tc>
          <w:tcPr>
            <w:tcW w:w="2460" w:type="dxa"/>
            <w:vAlign w:val="bottom"/>
            <w:tcBorders>
              <w:top w:val="single" w:sz="8" w:color="C0C0C0"/>
            </w:tcBorders>
            <w:shd w:val="clear" w:color="auto" w:fill="C0C0C0"/>
          </w:tcPr>
          <w:p>
            <w:pPr>
              <w:spacing w:after="0"/>
              <w:rPr>
                <w:sz w:val="21"/>
                <w:szCs w:val="21"/>
                <w:color w:val="auto"/>
              </w:rPr>
            </w:pPr>
          </w:p>
        </w:tc>
        <w:tc>
          <w:tcPr>
            <w:tcW w:w="200" w:type="dxa"/>
            <w:vAlign w:val="bottom"/>
            <w:tcBorders>
              <w:top w:val="single" w:sz="8" w:color="auto"/>
            </w:tcBorders>
            <w:shd w:val="clear" w:color="auto" w:fill="C0C0C0"/>
          </w:tcPr>
          <w:p>
            <w:pPr>
              <w:spacing w:after="0"/>
              <w:rPr>
                <w:sz w:val="21"/>
                <w:szCs w:val="21"/>
                <w:color w:val="auto"/>
              </w:rPr>
            </w:pPr>
          </w:p>
        </w:tc>
        <w:tc>
          <w:tcPr>
            <w:tcW w:w="840" w:type="dxa"/>
            <w:vAlign w:val="bottom"/>
            <w:tcBorders>
              <w:top w:val="single" w:sz="8" w:color="auto"/>
            </w:tcBorders>
            <w:shd w:val="clear" w:color="auto" w:fill="C0C0C0"/>
          </w:tcPr>
          <w:p>
            <w:pPr>
              <w:spacing w:after="0"/>
              <w:rPr>
                <w:sz w:val="21"/>
                <w:szCs w:val="21"/>
                <w:color w:val="auto"/>
              </w:rPr>
            </w:pPr>
          </w:p>
        </w:tc>
        <w:tc>
          <w:tcPr>
            <w:tcW w:w="280" w:type="dxa"/>
            <w:vAlign w:val="bottom"/>
            <w:tcBorders>
              <w:top w:val="single" w:sz="8" w:color="C0C0C0"/>
            </w:tcBorders>
            <w:shd w:val="clear" w:color="auto" w:fill="C0C0C0"/>
          </w:tcPr>
          <w:p>
            <w:pPr>
              <w:spacing w:after="0"/>
              <w:rPr>
                <w:sz w:val="21"/>
                <w:szCs w:val="21"/>
                <w:color w:val="auto"/>
              </w:rPr>
            </w:pPr>
          </w:p>
        </w:tc>
        <w:tc>
          <w:tcPr>
            <w:tcW w:w="80" w:type="dxa"/>
            <w:vAlign w:val="bottom"/>
            <w:tcBorders>
              <w:top w:val="single" w:sz="8" w:color="auto"/>
            </w:tcBorders>
            <w:shd w:val="clear" w:color="auto" w:fill="C0C0C0"/>
          </w:tcPr>
          <w:p>
            <w:pPr>
              <w:spacing w:after="0"/>
              <w:rPr>
                <w:sz w:val="21"/>
                <w:szCs w:val="21"/>
                <w:color w:val="auto"/>
              </w:rPr>
            </w:pPr>
          </w:p>
        </w:tc>
        <w:tc>
          <w:tcPr>
            <w:tcW w:w="980" w:type="dxa"/>
            <w:vAlign w:val="bottom"/>
            <w:tcBorders>
              <w:top w:val="single" w:sz="8" w:color="auto"/>
            </w:tcBorders>
            <w:shd w:val="clear" w:color="auto" w:fill="C0C0C0"/>
          </w:tcPr>
          <w:p>
            <w:pPr>
              <w:spacing w:after="0"/>
              <w:rPr>
                <w:sz w:val="21"/>
                <w:szCs w:val="21"/>
                <w:color w:val="auto"/>
              </w:rPr>
            </w:pPr>
          </w:p>
        </w:tc>
      </w:tr>
      <w:tr>
        <w:trPr>
          <w:trHeight w:val="250"/>
        </w:trPr>
        <w:tc>
          <w:tcPr>
            <w:tcW w:w="6580" w:type="dxa"/>
            <w:vAlign w:val="bottom"/>
            <w:tcBorders>
              <w:bottom w:val="single" w:sz="8" w:color="C0C0C0"/>
            </w:tcBorders>
          </w:tcPr>
          <w:p>
            <w:pPr>
              <w:ind w:left="320"/>
              <w:spacing w:after="0"/>
              <w:rPr>
                <w:sz w:val="20"/>
                <w:szCs w:val="20"/>
                <w:color w:val="auto"/>
              </w:rPr>
            </w:pPr>
            <w:r>
              <w:rPr>
                <w:rFonts w:ascii="Arial" w:cs="Arial" w:eastAsia="Arial" w:hAnsi="Arial"/>
                <w:sz w:val="18"/>
                <w:szCs w:val="18"/>
                <w:color w:val="auto"/>
              </w:rPr>
              <w:t>Basic</w:t>
            </w:r>
          </w:p>
        </w:tc>
        <w:tc>
          <w:tcPr>
            <w:tcW w:w="2460" w:type="dxa"/>
            <w:vAlign w:val="bottom"/>
            <w:tcBorders>
              <w:bottom w:val="single" w:sz="8" w:color="C0C0C0"/>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53,817</w:t>
            </w:r>
          </w:p>
        </w:tc>
        <w:tc>
          <w:tcPr>
            <w:tcW w:w="280" w:type="dxa"/>
            <w:vAlign w:val="bottom"/>
            <w:tcBorders>
              <w:bottom w:val="single" w:sz="8" w:color="C0C0C0"/>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53,102</w:t>
            </w:r>
          </w:p>
        </w:tc>
      </w:tr>
      <w:tr>
        <w:trPr>
          <w:trHeight w:val="250"/>
        </w:trPr>
        <w:tc>
          <w:tcPr>
            <w:tcW w:w="6580" w:type="dxa"/>
            <w:vAlign w:val="bottom"/>
            <w:tcBorders>
              <w:bottom w:val="single" w:sz="8" w:color="C0C0C0"/>
            </w:tcBorders>
            <w:shd w:val="clear" w:color="auto" w:fill="C0C0C0"/>
          </w:tcPr>
          <w:p>
            <w:pPr>
              <w:ind w:left="320"/>
              <w:spacing w:after="0"/>
              <w:rPr>
                <w:sz w:val="20"/>
                <w:szCs w:val="20"/>
                <w:color w:val="auto"/>
              </w:rPr>
            </w:pPr>
            <w:r>
              <w:rPr>
                <w:rFonts w:ascii="Arial" w:cs="Arial" w:eastAsia="Arial" w:hAnsi="Arial"/>
                <w:sz w:val="18"/>
                <w:szCs w:val="18"/>
                <w:color w:val="auto"/>
              </w:rPr>
              <w:t>Diluted</w:t>
            </w:r>
          </w:p>
        </w:tc>
        <w:tc>
          <w:tcPr>
            <w:tcW w:w="2460" w:type="dxa"/>
            <w:vAlign w:val="bottom"/>
            <w:tcBorders>
              <w:bottom w:val="single" w:sz="8" w:color="C0C0C0"/>
            </w:tcBorders>
            <w:shd w:val="clear" w:color="auto" w:fill="C0C0C0"/>
          </w:tcPr>
          <w:p>
            <w:pPr>
              <w:spacing w:after="0"/>
              <w:rPr>
                <w:sz w:val="21"/>
                <w:szCs w:val="21"/>
                <w:color w:val="auto"/>
              </w:rPr>
            </w:pPr>
          </w:p>
        </w:tc>
        <w:tc>
          <w:tcPr>
            <w:tcW w:w="200" w:type="dxa"/>
            <w:vAlign w:val="bottom"/>
            <w:tcBorders>
              <w:bottom w:val="single" w:sz="8" w:color="auto"/>
            </w:tcBorders>
            <w:shd w:val="clear" w:color="auto" w:fill="C0C0C0"/>
          </w:tcPr>
          <w:p>
            <w:pPr>
              <w:spacing w:after="0"/>
              <w:rPr>
                <w:sz w:val="21"/>
                <w:szCs w:val="21"/>
                <w:color w:val="auto"/>
              </w:rPr>
            </w:pPr>
          </w:p>
        </w:tc>
        <w:tc>
          <w:tcPr>
            <w:tcW w:w="84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66,411</w:t>
            </w:r>
          </w:p>
        </w:tc>
        <w:tc>
          <w:tcPr>
            <w:tcW w:w="280" w:type="dxa"/>
            <w:vAlign w:val="bottom"/>
            <w:tcBorders>
              <w:bottom w:val="single" w:sz="8" w:color="C0C0C0"/>
            </w:tcBorders>
            <w:shd w:val="clear" w:color="auto" w:fill="C0C0C0"/>
          </w:tcPr>
          <w:p>
            <w:pPr>
              <w:spacing w:after="0"/>
              <w:rPr>
                <w:sz w:val="21"/>
                <w:szCs w:val="21"/>
                <w:color w:val="auto"/>
              </w:rPr>
            </w:pPr>
          </w:p>
        </w:tc>
        <w:tc>
          <w:tcPr>
            <w:tcW w:w="80" w:type="dxa"/>
            <w:vAlign w:val="bottom"/>
            <w:tcBorders>
              <w:bottom w:val="single" w:sz="8" w:color="auto"/>
            </w:tcBorders>
            <w:shd w:val="clear" w:color="auto" w:fill="C0C0C0"/>
          </w:tcPr>
          <w:p>
            <w:pPr>
              <w:spacing w:after="0"/>
              <w:rPr>
                <w:sz w:val="21"/>
                <w:szCs w:val="21"/>
                <w:color w:val="auto"/>
              </w:rPr>
            </w:pPr>
          </w:p>
        </w:tc>
        <w:tc>
          <w:tcPr>
            <w:tcW w:w="98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54,824</w:t>
            </w: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5" w:name="page6"/>
    <w:bookmarkEnd w:id="5"/>
    <w:p>
      <w:pPr>
        <w:ind w:left="4020"/>
        <w:spacing w:after="0"/>
        <w:rPr>
          <w:sz w:val="20"/>
          <w:szCs w:val="20"/>
          <w:color w:val="auto"/>
        </w:rPr>
      </w:pPr>
      <w:r>
        <w:rPr>
          <w:rFonts w:ascii="Arial" w:cs="Arial" w:eastAsia="Arial" w:hAnsi="Arial"/>
          <w:sz w:val="18"/>
          <w:szCs w:val="18"/>
          <w:b w:val="1"/>
          <w:bCs w:val="1"/>
          <w:color w:val="auto"/>
        </w:rPr>
        <w:t>PHOTRONICS, INC. AND SUBSIDIARIES</w:t>
      </w:r>
    </w:p>
    <w:p>
      <w:pPr>
        <w:spacing w:after="0" w:line="2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Condensed Consolidated Statements of Cash Flows</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i w:val="1"/>
          <w:iCs w:val="1"/>
          <w:color w:val="auto"/>
        </w:rPr>
        <w:t>(in thousands)</w:t>
      </w:r>
    </w:p>
    <w:p>
      <w:pPr>
        <w:spacing w:after="0" w:line="9" w:lineRule="exact"/>
        <w:rPr>
          <w:sz w:val="20"/>
          <w:szCs w:val="20"/>
          <w:color w:val="auto"/>
        </w:rPr>
      </w:pPr>
    </w:p>
    <w:p>
      <w:pPr>
        <w:ind w:left="5300"/>
        <w:spacing w:after="0"/>
        <w:rPr>
          <w:sz w:val="20"/>
          <w:szCs w:val="20"/>
          <w:color w:val="auto"/>
        </w:rPr>
      </w:pPr>
      <w:r>
        <w:rPr>
          <w:rFonts w:ascii="Arial" w:cs="Arial" w:eastAsia="Arial" w:hAnsi="Arial"/>
          <w:sz w:val="18"/>
          <w:szCs w:val="18"/>
          <w:i w:val="1"/>
          <w:iCs w:val="1"/>
          <w:color w:val="auto"/>
        </w:rPr>
        <w:t>(unaudited)</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4"/>
          </w:tcPr>
          <w:p>
            <w:pPr>
              <w:jc w:val="right"/>
              <w:ind w:right="252"/>
              <w:spacing w:after="0"/>
              <w:rPr>
                <w:sz w:val="20"/>
                <w:szCs w:val="20"/>
                <w:color w:val="auto"/>
              </w:rPr>
            </w:pPr>
            <w:r>
              <w:rPr>
                <w:rFonts w:ascii="Arial" w:cs="Arial" w:eastAsia="Arial" w:hAnsi="Arial"/>
                <w:sz w:val="18"/>
                <w:szCs w:val="18"/>
                <w:b w:val="1"/>
                <w:bCs w:val="1"/>
                <w:color w:val="auto"/>
                <w:w w:val="95"/>
              </w:rPr>
              <w:t>Three Months Ended</w:t>
            </w:r>
          </w:p>
        </w:tc>
      </w:tr>
      <w:tr>
        <w:trPr>
          <w:trHeight w:val="228"/>
        </w:trPr>
        <w:tc>
          <w:tcPr>
            <w:tcW w:w="8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3"/>
          </w:tcPr>
          <w:p>
            <w:pPr>
              <w:ind w:left="60"/>
              <w:spacing w:after="0"/>
              <w:rPr>
                <w:sz w:val="20"/>
                <w:szCs w:val="20"/>
                <w:color w:val="auto"/>
              </w:rPr>
            </w:pPr>
            <w:r>
              <w:rPr>
                <w:rFonts w:ascii="Arial" w:cs="Arial" w:eastAsia="Arial" w:hAnsi="Arial"/>
                <w:sz w:val="18"/>
                <w:szCs w:val="18"/>
                <w:b w:val="1"/>
                <w:bCs w:val="1"/>
                <w:color w:val="auto"/>
              </w:rPr>
              <w:t>January 30,</w:t>
            </w:r>
          </w:p>
        </w:tc>
        <w:tc>
          <w:tcPr>
            <w:tcW w:w="102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January 31,</w:t>
            </w:r>
          </w:p>
        </w:tc>
      </w:tr>
      <w:tr>
        <w:trPr>
          <w:trHeight w:val="251"/>
        </w:trPr>
        <w:tc>
          <w:tcPr>
            <w:tcW w:w="8940" w:type="dxa"/>
            <w:vAlign w:val="bottom"/>
            <w:tcBorders>
              <w:bottom w:val="single" w:sz="8" w:color="C0C0C0"/>
            </w:tcBorders>
          </w:tcPr>
          <w:p>
            <w:pPr>
              <w:spacing w:after="0"/>
              <w:rPr>
                <w:sz w:val="21"/>
                <w:szCs w:val="21"/>
                <w:color w:val="auto"/>
              </w:rPr>
            </w:pPr>
          </w:p>
        </w:tc>
        <w:tc>
          <w:tcPr>
            <w:tcW w:w="220" w:type="dxa"/>
            <w:vAlign w:val="bottom"/>
            <w:tcBorders>
              <w:bottom w:val="single" w:sz="8" w:color="C0C0C0"/>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2011</w:t>
            </w:r>
          </w:p>
        </w:tc>
        <w:tc>
          <w:tcPr>
            <w:tcW w:w="220" w:type="dxa"/>
            <w:vAlign w:val="bottom"/>
            <w:tcBorders>
              <w:bottom w:val="single" w:sz="8" w:color="C0C0C0"/>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2010</w:t>
            </w:r>
          </w:p>
        </w:tc>
      </w:tr>
      <w:tr>
        <w:trPr>
          <w:trHeight w:val="243"/>
        </w:trPr>
        <w:tc>
          <w:tcPr>
            <w:tcW w:w="8940" w:type="dxa"/>
            <w:vAlign w:val="bottom"/>
            <w:shd w:val="clear" w:color="auto" w:fill="C0C0C0"/>
          </w:tcPr>
          <w:p>
            <w:pPr>
              <w:spacing w:after="0"/>
              <w:rPr>
                <w:sz w:val="20"/>
                <w:szCs w:val="20"/>
                <w:color w:val="auto"/>
              </w:rPr>
            </w:pPr>
            <w:r>
              <w:rPr>
                <w:rFonts w:ascii="Arial" w:cs="Arial" w:eastAsia="Arial" w:hAnsi="Arial"/>
                <w:sz w:val="18"/>
                <w:szCs w:val="18"/>
                <w:color w:val="auto"/>
              </w:rPr>
              <w:t>Cash flows from operating activities:</w:t>
            </w:r>
          </w:p>
        </w:tc>
        <w:tc>
          <w:tcPr>
            <w:tcW w:w="22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2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20" w:type="dxa"/>
            <w:vAlign w:val="bottom"/>
            <w:shd w:val="clear" w:color="auto" w:fill="C0C0C0"/>
          </w:tcPr>
          <w:p>
            <w:pPr>
              <w:spacing w:after="0"/>
              <w:rPr>
                <w:sz w:val="21"/>
                <w:szCs w:val="21"/>
                <w:color w:val="auto"/>
              </w:rPr>
            </w:pPr>
          </w:p>
        </w:tc>
      </w:tr>
      <w:tr>
        <w:trPr>
          <w:trHeight w:val="235"/>
        </w:trPr>
        <w:tc>
          <w:tcPr>
            <w:tcW w:w="8940" w:type="dxa"/>
            <w:vAlign w:val="bottom"/>
          </w:tcPr>
          <w:p>
            <w:pPr>
              <w:ind w:left="320"/>
              <w:spacing w:after="0"/>
              <w:rPr>
                <w:sz w:val="20"/>
                <w:szCs w:val="20"/>
                <w:color w:val="auto"/>
              </w:rPr>
            </w:pPr>
            <w:r>
              <w:rPr>
                <w:rFonts w:ascii="Arial" w:cs="Arial" w:eastAsia="Arial" w:hAnsi="Arial"/>
                <w:sz w:val="18"/>
                <w:szCs w:val="18"/>
                <w:color w:val="auto"/>
              </w:rPr>
              <w:t>Net income</w:t>
            </w:r>
          </w:p>
        </w:tc>
        <w:tc>
          <w:tcPr>
            <w:tcW w:w="42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13,584</w:t>
            </w:r>
          </w:p>
        </w:tc>
        <w:tc>
          <w:tcPr>
            <w:tcW w:w="220" w:type="dxa"/>
            <w:vAlign w:val="bottom"/>
          </w:tcPr>
          <w:p>
            <w:pPr>
              <w:spacing w:after="0"/>
              <w:rPr>
                <w:sz w:val="20"/>
                <w:szCs w:val="20"/>
                <w:color w:val="auto"/>
              </w:rPr>
            </w:pPr>
          </w:p>
        </w:tc>
        <w:tc>
          <w:tcPr>
            <w:tcW w:w="200" w:type="dxa"/>
            <w:vAlign w:val="bottom"/>
          </w:tcPr>
          <w:p>
            <w:pPr>
              <w:jc w:val="right"/>
              <w:ind w:right="4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408</w:t>
            </w:r>
          </w:p>
        </w:tc>
      </w:tr>
      <w:tr>
        <w:trPr>
          <w:trHeight w:val="235"/>
        </w:trPr>
        <w:tc>
          <w:tcPr>
            <w:tcW w:w="8940" w:type="dxa"/>
            <w:vAlign w:val="bottom"/>
            <w:shd w:val="clear" w:color="auto" w:fill="C0C0C0"/>
          </w:tcPr>
          <w:p>
            <w:pPr>
              <w:ind w:left="320"/>
              <w:spacing w:after="0"/>
              <w:rPr>
                <w:sz w:val="20"/>
                <w:szCs w:val="20"/>
                <w:color w:val="auto"/>
              </w:rPr>
            </w:pPr>
            <w:r>
              <w:rPr>
                <w:rFonts w:ascii="Arial" w:cs="Arial" w:eastAsia="Arial" w:hAnsi="Arial"/>
                <w:sz w:val="18"/>
                <w:szCs w:val="18"/>
                <w:color w:val="auto"/>
              </w:rPr>
              <w:t>Adjustments to reconcile net income</w:t>
            </w:r>
          </w:p>
        </w:tc>
        <w:tc>
          <w:tcPr>
            <w:tcW w:w="220" w:type="dxa"/>
            <w:vAlign w:val="bottom"/>
            <w:shd w:val="clear" w:color="auto" w:fill="C0C0C0"/>
          </w:tcPr>
          <w:p>
            <w:pPr>
              <w:spacing w:after="0"/>
              <w:rPr>
                <w:sz w:val="20"/>
                <w:szCs w:val="20"/>
                <w:color w:val="auto"/>
              </w:rPr>
            </w:pPr>
          </w:p>
        </w:tc>
        <w:tc>
          <w:tcPr>
            <w:tcW w:w="200" w:type="dxa"/>
            <w:vAlign w:val="bottom"/>
            <w:shd w:val="clear" w:color="auto" w:fill="C0C0C0"/>
          </w:tcPr>
          <w:p>
            <w:pPr>
              <w:spacing w:after="0"/>
              <w:rPr>
                <w:sz w:val="20"/>
                <w:szCs w:val="20"/>
                <w:color w:val="auto"/>
              </w:rPr>
            </w:pPr>
          </w:p>
        </w:tc>
        <w:tc>
          <w:tcPr>
            <w:tcW w:w="820" w:type="dxa"/>
            <w:vAlign w:val="bottom"/>
            <w:shd w:val="clear" w:color="auto" w:fill="C0C0C0"/>
          </w:tcPr>
          <w:p>
            <w:pPr>
              <w:spacing w:after="0"/>
              <w:rPr>
                <w:sz w:val="20"/>
                <w:szCs w:val="20"/>
                <w:color w:val="auto"/>
              </w:rPr>
            </w:pPr>
          </w:p>
        </w:tc>
        <w:tc>
          <w:tcPr>
            <w:tcW w:w="220" w:type="dxa"/>
            <w:vAlign w:val="bottom"/>
            <w:shd w:val="clear" w:color="auto" w:fill="C0C0C0"/>
          </w:tcPr>
          <w:p>
            <w:pPr>
              <w:spacing w:after="0"/>
              <w:rPr>
                <w:sz w:val="20"/>
                <w:szCs w:val="20"/>
                <w:color w:val="auto"/>
              </w:rPr>
            </w:pPr>
          </w:p>
        </w:tc>
        <w:tc>
          <w:tcPr>
            <w:tcW w:w="200" w:type="dxa"/>
            <w:vAlign w:val="bottom"/>
            <w:shd w:val="clear" w:color="auto" w:fill="C0C0C0"/>
          </w:tcPr>
          <w:p>
            <w:pPr>
              <w:spacing w:after="0"/>
              <w:rPr>
                <w:sz w:val="20"/>
                <w:szCs w:val="20"/>
                <w:color w:val="auto"/>
              </w:rPr>
            </w:pPr>
          </w:p>
        </w:tc>
        <w:tc>
          <w:tcPr>
            <w:tcW w:w="820" w:type="dxa"/>
            <w:vAlign w:val="bottom"/>
            <w:shd w:val="clear" w:color="auto" w:fill="C0C0C0"/>
          </w:tcPr>
          <w:p>
            <w:pPr>
              <w:spacing w:after="0"/>
              <w:rPr>
                <w:sz w:val="20"/>
                <w:szCs w:val="20"/>
                <w:color w:val="auto"/>
              </w:rPr>
            </w:pPr>
          </w:p>
        </w:tc>
      </w:tr>
      <w:tr>
        <w:trPr>
          <w:trHeight w:val="259"/>
        </w:trPr>
        <w:tc>
          <w:tcPr>
            <w:tcW w:w="8940" w:type="dxa"/>
            <w:vAlign w:val="bottom"/>
            <w:shd w:val="clear" w:color="auto" w:fill="C0C0C0"/>
          </w:tcPr>
          <w:p>
            <w:pPr>
              <w:ind w:left="620"/>
              <w:spacing w:after="0"/>
              <w:rPr>
                <w:sz w:val="20"/>
                <w:szCs w:val="20"/>
                <w:color w:val="auto"/>
              </w:rPr>
            </w:pPr>
            <w:r>
              <w:rPr>
                <w:rFonts w:ascii="Arial" w:cs="Arial" w:eastAsia="Arial" w:hAnsi="Arial"/>
                <w:sz w:val="18"/>
                <w:szCs w:val="18"/>
                <w:color w:val="auto"/>
              </w:rPr>
              <w:t>to net cash provided by operating activities:</w:t>
            </w:r>
          </w:p>
        </w:tc>
        <w:tc>
          <w:tcPr>
            <w:tcW w:w="220" w:type="dxa"/>
            <w:vAlign w:val="bottom"/>
            <w:shd w:val="clear" w:color="auto" w:fill="C0C0C0"/>
          </w:tcPr>
          <w:p>
            <w:pPr>
              <w:spacing w:after="0"/>
              <w:rPr>
                <w:sz w:val="22"/>
                <w:szCs w:val="22"/>
                <w:color w:val="auto"/>
              </w:rPr>
            </w:pPr>
          </w:p>
        </w:tc>
        <w:tc>
          <w:tcPr>
            <w:tcW w:w="200" w:type="dxa"/>
            <w:vAlign w:val="bottom"/>
            <w:shd w:val="clear" w:color="auto" w:fill="C0C0C0"/>
          </w:tcPr>
          <w:p>
            <w:pPr>
              <w:spacing w:after="0"/>
              <w:rPr>
                <w:sz w:val="22"/>
                <w:szCs w:val="22"/>
                <w:color w:val="auto"/>
              </w:rPr>
            </w:pPr>
          </w:p>
        </w:tc>
        <w:tc>
          <w:tcPr>
            <w:tcW w:w="820" w:type="dxa"/>
            <w:vAlign w:val="bottom"/>
            <w:shd w:val="clear" w:color="auto" w:fill="C0C0C0"/>
          </w:tcPr>
          <w:p>
            <w:pPr>
              <w:spacing w:after="0"/>
              <w:rPr>
                <w:sz w:val="22"/>
                <w:szCs w:val="22"/>
                <w:color w:val="auto"/>
              </w:rPr>
            </w:pPr>
          </w:p>
        </w:tc>
        <w:tc>
          <w:tcPr>
            <w:tcW w:w="220" w:type="dxa"/>
            <w:vAlign w:val="bottom"/>
            <w:shd w:val="clear" w:color="auto" w:fill="C0C0C0"/>
          </w:tcPr>
          <w:p>
            <w:pPr>
              <w:spacing w:after="0"/>
              <w:rPr>
                <w:sz w:val="22"/>
                <w:szCs w:val="22"/>
                <w:color w:val="auto"/>
              </w:rPr>
            </w:pPr>
          </w:p>
        </w:tc>
        <w:tc>
          <w:tcPr>
            <w:tcW w:w="200" w:type="dxa"/>
            <w:vAlign w:val="bottom"/>
            <w:shd w:val="clear" w:color="auto" w:fill="C0C0C0"/>
          </w:tcPr>
          <w:p>
            <w:pPr>
              <w:spacing w:after="0"/>
              <w:rPr>
                <w:sz w:val="22"/>
                <w:szCs w:val="22"/>
                <w:color w:val="auto"/>
              </w:rPr>
            </w:pPr>
          </w:p>
        </w:tc>
        <w:tc>
          <w:tcPr>
            <w:tcW w:w="820" w:type="dxa"/>
            <w:vAlign w:val="bottom"/>
            <w:shd w:val="clear" w:color="auto" w:fill="C0C0C0"/>
          </w:tcPr>
          <w:p>
            <w:pPr>
              <w:spacing w:after="0"/>
              <w:rPr>
                <w:sz w:val="22"/>
                <w:szCs w:val="22"/>
                <w:color w:val="auto"/>
              </w:rPr>
            </w:pPr>
          </w:p>
        </w:tc>
      </w:tr>
      <w:tr>
        <w:trPr>
          <w:trHeight w:val="235"/>
        </w:trPr>
        <w:tc>
          <w:tcPr>
            <w:tcW w:w="8940" w:type="dxa"/>
            <w:vAlign w:val="bottom"/>
          </w:tcPr>
          <w:p>
            <w:pPr>
              <w:ind w:left="92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23,189</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22,424</w:t>
            </w:r>
          </w:p>
        </w:tc>
      </w:tr>
      <w:tr>
        <w:trPr>
          <w:trHeight w:val="251"/>
        </w:trPr>
        <w:tc>
          <w:tcPr>
            <w:tcW w:w="8940" w:type="dxa"/>
            <w:vAlign w:val="bottom"/>
            <w:shd w:val="clear" w:color="auto" w:fill="C0C0C0"/>
          </w:tcPr>
          <w:p>
            <w:pPr>
              <w:ind w:left="920"/>
              <w:spacing w:after="0"/>
              <w:rPr>
                <w:sz w:val="20"/>
                <w:szCs w:val="20"/>
                <w:color w:val="auto"/>
              </w:rPr>
            </w:pPr>
            <w:r>
              <w:rPr>
                <w:rFonts w:ascii="Arial" w:cs="Arial" w:eastAsia="Arial" w:hAnsi="Arial"/>
                <w:sz w:val="18"/>
                <w:szCs w:val="18"/>
                <w:color w:val="auto"/>
              </w:rPr>
              <w:t>Changes in assets and liabilities:</w:t>
            </w:r>
          </w:p>
        </w:tc>
        <w:tc>
          <w:tcPr>
            <w:tcW w:w="22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2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20" w:type="dxa"/>
            <w:vAlign w:val="bottom"/>
            <w:shd w:val="clear" w:color="auto" w:fill="C0C0C0"/>
          </w:tcPr>
          <w:p>
            <w:pPr>
              <w:spacing w:after="0"/>
              <w:rPr>
                <w:sz w:val="21"/>
                <w:szCs w:val="21"/>
                <w:color w:val="auto"/>
              </w:rPr>
            </w:pPr>
          </w:p>
        </w:tc>
      </w:tr>
      <w:tr>
        <w:trPr>
          <w:trHeight w:val="235"/>
        </w:trPr>
        <w:tc>
          <w:tcPr>
            <w:tcW w:w="8940" w:type="dxa"/>
            <w:vAlign w:val="bottom"/>
          </w:tcPr>
          <w:p>
            <w:pPr>
              <w:ind w:left="1260"/>
              <w:spacing w:after="0"/>
              <w:rPr>
                <w:sz w:val="20"/>
                <w:szCs w:val="20"/>
                <w:color w:val="auto"/>
              </w:rPr>
            </w:pPr>
            <w:r>
              <w:rPr>
                <w:rFonts w:ascii="Arial" w:cs="Arial" w:eastAsia="Arial" w:hAnsi="Arial"/>
                <w:sz w:val="18"/>
                <w:szCs w:val="18"/>
                <w:color w:val="auto"/>
              </w:rPr>
              <w:t>Accounts receivable</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4,139</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(5,349)</w:t>
            </w:r>
          </w:p>
        </w:tc>
      </w:tr>
      <w:tr>
        <w:trPr>
          <w:trHeight w:val="251"/>
        </w:trPr>
        <w:tc>
          <w:tcPr>
            <w:tcW w:w="8940" w:type="dxa"/>
            <w:vAlign w:val="bottom"/>
            <w:shd w:val="clear" w:color="auto" w:fill="C0C0C0"/>
          </w:tcPr>
          <w:p>
            <w:pPr>
              <w:ind w:left="1260"/>
              <w:spacing w:after="0"/>
              <w:rPr>
                <w:sz w:val="20"/>
                <w:szCs w:val="20"/>
                <w:color w:val="auto"/>
              </w:rPr>
            </w:pPr>
            <w:r>
              <w:rPr>
                <w:rFonts w:ascii="Arial" w:cs="Arial" w:eastAsia="Arial" w:hAnsi="Arial"/>
                <w:sz w:val="18"/>
                <w:szCs w:val="18"/>
                <w:color w:val="auto"/>
              </w:rPr>
              <w:t>Inventories</w:t>
            </w:r>
          </w:p>
        </w:tc>
        <w:tc>
          <w:tcPr>
            <w:tcW w:w="22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(5,299)</w:t>
            </w:r>
          </w:p>
        </w:tc>
        <w:tc>
          <w:tcPr>
            <w:tcW w:w="22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(743)</w:t>
            </w:r>
          </w:p>
        </w:tc>
      </w:tr>
      <w:tr>
        <w:trPr>
          <w:trHeight w:val="235"/>
        </w:trPr>
        <w:tc>
          <w:tcPr>
            <w:tcW w:w="8940" w:type="dxa"/>
            <w:vAlign w:val="bottom"/>
          </w:tcPr>
          <w:p>
            <w:pPr>
              <w:ind w:left="1260"/>
              <w:spacing w:after="0"/>
              <w:rPr>
                <w:sz w:val="20"/>
                <w:szCs w:val="20"/>
                <w:color w:val="auto"/>
              </w:rPr>
            </w:pPr>
            <w:r>
              <w:rPr>
                <w:rFonts w:ascii="Arial" w:cs="Arial" w:eastAsia="Arial" w:hAnsi="Arial"/>
                <w:sz w:val="18"/>
                <w:szCs w:val="18"/>
                <w:color w:val="auto"/>
              </w:rPr>
              <w:t>Other current assets</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360</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(4,642)</w:t>
            </w:r>
          </w:p>
        </w:tc>
      </w:tr>
      <w:tr>
        <w:trPr>
          <w:trHeight w:val="251"/>
        </w:trPr>
        <w:tc>
          <w:tcPr>
            <w:tcW w:w="8940" w:type="dxa"/>
            <w:vAlign w:val="bottom"/>
            <w:shd w:val="clear" w:color="auto" w:fill="C0C0C0"/>
          </w:tcPr>
          <w:p>
            <w:pPr>
              <w:ind w:left="1260"/>
              <w:spacing w:after="0"/>
              <w:rPr>
                <w:sz w:val="20"/>
                <w:szCs w:val="20"/>
                <w:color w:val="auto"/>
              </w:rPr>
            </w:pPr>
            <w:r>
              <w:rPr>
                <w:rFonts w:ascii="Arial" w:cs="Arial" w:eastAsia="Arial" w:hAnsi="Arial"/>
                <w:sz w:val="18"/>
                <w:szCs w:val="18"/>
                <w:color w:val="auto"/>
              </w:rPr>
              <w:t>Accounts payable, accrued liabilities, and other</w:t>
            </w:r>
          </w:p>
        </w:tc>
        <w:tc>
          <w:tcPr>
            <w:tcW w:w="220" w:type="dxa"/>
            <w:vAlign w:val="bottom"/>
            <w:shd w:val="clear" w:color="auto" w:fill="C0C0C0"/>
          </w:tcPr>
          <w:p>
            <w:pPr>
              <w:spacing w:after="0"/>
              <w:rPr>
                <w:sz w:val="21"/>
                <w:szCs w:val="21"/>
                <w:color w:val="auto"/>
              </w:rPr>
            </w:pPr>
          </w:p>
        </w:tc>
        <w:tc>
          <w:tcPr>
            <w:tcW w:w="200" w:type="dxa"/>
            <w:vAlign w:val="bottom"/>
            <w:tcBorders>
              <w:bottom w:val="single" w:sz="8" w:color="auto"/>
            </w:tcBorders>
            <w:shd w:val="clear" w:color="auto" w:fill="C0C0C0"/>
          </w:tcPr>
          <w:p>
            <w:pPr>
              <w:spacing w:after="0"/>
              <w:rPr>
                <w:sz w:val="21"/>
                <w:szCs w:val="21"/>
                <w:color w:val="auto"/>
              </w:rPr>
            </w:pPr>
          </w:p>
        </w:tc>
        <w:tc>
          <w:tcPr>
            <w:tcW w:w="82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5,682</w:t>
            </w:r>
          </w:p>
        </w:tc>
        <w:tc>
          <w:tcPr>
            <w:tcW w:w="220" w:type="dxa"/>
            <w:vAlign w:val="bottom"/>
            <w:shd w:val="clear" w:color="auto" w:fill="C0C0C0"/>
          </w:tcPr>
          <w:p>
            <w:pPr>
              <w:spacing w:after="0"/>
              <w:rPr>
                <w:sz w:val="21"/>
                <w:szCs w:val="21"/>
                <w:color w:val="auto"/>
              </w:rPr>
            </w:pPr>
          </w:p>
        </w:tc>
        <w:tc>
          <w:tcPr>
            <w:tcW w:w="200" w:type="dxa"/>
            <w:vAlign w:val="bottom"/>
            <w:tcBorders>
              <w:bottom w:val="single" w:sz="8" w:color="auto"/>
            </w:tcBorders>
            <w:shd w:val="clear" w:color="auto" w:fill="C0C0C0"/>
          </w:tcPr>
          <w:p>
            <w:pPr>
              <w:spacing w:after="0"/>
              <w:rPr>
                <w:sz w:val="21"/>
                <w:szCs w:val="21"/>
                <w:color w:val="auto"/>
              </w:rPr>
            </w:pPr>
          </w:p>
        </w:tc>
        <w:tc>
          <w:tcPr>
            <w:tcW w:w="82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4,317</w:t>
            </w:r>
          </w:p>
        </w:tc>
      </w:tr>
      <w:tr>
        <w:trPr>
          <w:trHeight w:val="230"/>
        </w:trPr>
        <w:tc>
          <w:tcPr>
            <w:tcW w:w="8940" w:type="dxa"/>
            <w:vAlign w:val="bottom"/>
            <w:tcBorders>
              <w:bottom w:val="single" w:sz="8" w:color="C0C0C0"/>
            </w:tcBorders>
          </w:tcPr>
          <w:p>
            <w:pPr>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tcBorders>
              <w:bottom w:val="single" w:sz="8" w:color="C0C0C0"/>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41,655</w:t>
            </w:r>
          </w:p>
        </w:tc>
        <w:tc>
          <w:tcPr>
            <w:tcW w:w="220" w:type="dxa"/>
            <w:vAlign w:val="bottom"/>
            <w:tcBorders>
              <w:bottom w:val="single" w:sz="8" w:color="C0C0C0"/>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16,415</w:t>
            </w:r>
          </w:p>
        </w:tc>
      </w:tr>
      <w:tr>
        <w:trPr>
          <w:trHeight w:val="243"/>
        </w:trPr>
        <w:tc>
          <w:tcPr>
            <w:tcW w:w="8940" w:type="dxa"/>
            <w:vAlign w:val="bottom"/>
            <w:shd w:val="clear" w:color="auto" w:fill="C0C0C0"/>
          </w:tcPr>
          <w:p>
            <w:pPr>
              <w:spacing w:after="0"/>
              <w:rPr>
                <w:sz w:val="20"/>
                <w:szCs w:val="20"/>
                <w:color w:val="auto"/>
              </w:rPr>
            </w:pPr>
            <w:r>
              <w:rPr>
                <w:rFonts w:ascii="Arial" w:cs="Arial" w:eastAsia="Arial" w:hAnsi="Arial"/>
                <w:sz w:val="18"/>
                <w:szCs w:val="18"/>
                <w:color w:val="auto"/>
              </w:rPr>
              <w:t>Cash flows from investing activities:</w:t>
            </w:r>
          </w:p>
        </w:tc>
        <w:tc>
          <w:tcPr>
            <w:tcW w:w="22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2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20" w:type="dxa"/>
            <w:vAlign w:val="bottom"/>
            <w:shd w:val="clear" w:color="auto" w:fill="C0C0C0"/>
          </w:tcPr>
          <w:p>
            <w:pPr>
              <w:spacing w:after="0"/>
              <w:rPr>
                <w:sz w:val="21"/>
                <w:szCs w:val="21"/>
                <w:color w:val="auto"/>
              </w:rPr>
            </w:pPr>
          </w:p>
        </w:tc>
      </w:tr>
      <w:tr>
        <w:trPr>
          <w:trHeight w:val="235"/>
        </w:trPr>
        <w:tc>
          <w:tcPr>
            <w:tcW w:w="8940" w:type="dxa"/>
            <w:vAlign w:val="bottom"/>
          </w:tcPr>
          <w:p>
            <w:pPr>
              <w:ind w:left="320"/>
              <w:spacing w:after="0"/>
              <w:rPr>
                <w:sz w:val="20"/>
                <w:szCs w:val="20"/>
                <w:color w:val="auto"/>
              </w:rPr>
            </w:pPr>
            <w:r>
              <w:rPr>
                <w:rFonts w:ascii="Arial" w:cs="Arial" w:eastAsia="Arial" w:hAnsi="Arial"/>
                <w:sz w:val="18"/>
                <w:szCs w:val="18"/>
                <w:color w:val="auto"/>
              </w:rPr>
              <w:t>Purchases of property, plant and equipment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(19,120)</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(21,457)</w:t>
            </w:r>
          </w:p>
        </w:tc>
      </w:tr>
      <w:tr>
        <w:trPr>
          <w:trHeight w:val="251"/>
        </w:trPr>
        <w:tc>
          <w:tcPr>
            <w:tcW w:w="8940" w:type="dxa"/>
            <w:vAlign w:val="bottom"/>
            <w:shd w:val="clear" w:color="auto" w:fill="C0C0C0"/>
          </w:tcPr>
          <w:p>
            <w:pPr>
              <w:ind w:left="320"/>
              <w:spacing w:after="0"/>
              <w:rPr>
                <w:sz w:val="20"/>
                <w:szCs w:val="20"/>
                <w:color w:val="auto"/>
              </w:rPr>
            </w:pPr>
            <w:r>
              <w:rPr>
                <w:rFonts w:ascii="Arial" w:cs="Arial" w:eastAsia="Arial" w:hAnsi="Arial"/>
                <w:sz w:val="18"/>
                <w:szCs w:val="18"/>
                <w:color w:val="auto"/>
              </w:rPr>
              <w:t>Investment in joint venture</w:t>
            </w:r>
          </w:p>
        </w:tc>
        <w:tc>
          <w:tcPr>
            <w:tcW w:w="22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(3,999)</w:t>
            </w:r>
          </w:p>
        </w:tc>
        <w:tc>
          <w:tcPr>
            <w:tcW w:w="22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w:t>
            </w:r>
          </w:p>
        </w:tc>
      </w:tr>
      <w:tr>
        <w:trPr>
          <w:trHeight w:val="235"/>
        </w:trPr>
        <w:tc>
          <w:tcPr>
            <w:tcW w:w="8940" w:type="dxa"/>
            <w:vAlign w:val="bottom"/>
          </w:tcPr>
          <w:p>
            <w:pPr>
              <w:ind w:left="320"/>
              <w:spacing w:after="0"/>
              <w:rPr>
                <w:sz w:val="20"/>
                <w:szCs w:val="20"/>
                <w:color w:val="auto"/>
              </w:rPr>
            </w:pPr>
            <w:r>
              <w:rPr>
                <w:rFonts w:ascii="Arial" w:cs="Arial" w:eastAsia="Arial" w:hAnsi="Arial"/>
                <w:sz w:val="18"/>
                <w:szCs w:val="18"/>
                <w:color w:val="auto"/>
              </w:rPr>
              <w:t>Cash deposit received on sale of facility</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4,190</w:t>
            </w:r>
          </w:p>
        </w:tc>
      </w:tr>
      <w:tr>
        <w:trPr>
          <w:trHeight w:val="251"/>
        </w:trPr>
        <w:tc>
          <w:tcPr>
            <w:tcW w:w="8940" w:type="dxa"/>
            <w:vAlign w:val="bottom"/>
            <w:shd w:val="clear" w:color="auto" w:fill="C0C0C0"/>
          </w:tcPr>
          <w:p>
            <w:pPr>
              <w:ind w:left="320"/>
              <w:spacing w:after="0"/>
              <w:rPr>
                <w:sz w:val="20"/>
                <w:szCs w:val="20"/>
                <w:color w:val="auto"/>
              </w:rPr>
            </w:pPr>
            <w:r>
              <w:rPr>
                <w:rFonts w:ascii="Arial" w:cs="Arial" w:eastAsia="Arial" w:hAnsi="Arial"/>
                <w:sz w:val="18"/>
                <w:szCs w:val="18"/>
                <w:color w:val="auto"/>
              </w:rPr>
              <w:t>Increase in restricted cash</w:t>
            </w:r>
          </w:p>
        </w:tc>
        <w:tc>
          <w:tcPr>
            <w:tcW w:w="22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2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(1,250)</w:t>
            </w:r>
          </w:p>
        </w:tc>
      </w:tr>
      <w:tr>
        <w:trPr>
          <w:trHeight w:val="237"/>
        </w:trPr>
        <w:tc>
          <w:tcPr>
            <w:tcW w:w="8940" w:type="dxa"/>
            <w:vAlign w:val="bottom"/>
            <w:tcBorders>
              <w:bottom w:val="single" w:sz="8" w:color="C0C0C0"/>
            </w:tcBorders>
          </w:tcPr>
          <w:p>
            <w:pPr>
              <w:ind w:left="320"/>
              <w:spacing w:after="0"/>
              <w:rPr>
                <w:sz w:val="20"/>
                <w:szCs w:val="20"/>
                <w:color w:val="auto"/>
              </w:rPr>
            </w:pPr>
            <w:r>
              <w:rPr>
                <w:rFonts w:ascii="Arial" w:cs="Arial" w:eastAsia="Arial" w:hAnsi="Arial"/>
                <w:sz w:val="18"/>
                <w:szCs w:val="18"/>
                <w:color w:val="auto"/>
              </w:rPr>
              <w:t>Proceeds from sales of short-term investments and other</w:t>
            </w:r>
          </w:p>
        </w:tc>
        <w:tc>
          <w:tcPr>
            <w:tcW w:w="220" w:type="dxa"/>
            <w:vAlign w:val="bottom"/>
            <w:tcBorders>
              <w:bottom w:val="single" w:sz="8" w:color="C0C0C0"/>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0C0C0"/>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43</w:t>
            </w:r>
          </w:p>
        </w:tc>
      </w:tr>
      <w:tr>
        <w:trPr>
          <w:trHeight w:val="243"/>
        </w:trPr>
        <w:tc>
          <w:tcPr>
            <w:tcW w:w="8940" w:type="dxa"/>
            <w:vAlign w:val="bottom"/>
            <w:shd w:val="clear" w:color="auto" w:fill="C0C0C0"/>
          </w:tcPr>
          <w:p>
            <w:pPr>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shd w:val="clear" w:color="auto" w:fill="C0C0C0"/>
          </w:tcPr>
          <w:p>
            <w:pPr>
              <w:spacing w:after="0"/>
              <w:rPr>
                <w:sz w:val="21"/>
                <w:szCs w:val="21"/>
                <w:color w:val="auto"/>
              </w:rPr>
            </w:pPr>
          </w:p>
        </w:tc>
        <w:tc>
          <w:tcPr>
            <w:tcW w:w="200" w:type="dxa"/>
            <w:vAlign w:val="bottom"/>
            <w:tcBorders>
              <w:bottom w:val="single" w:sz="8" w:color="auto"/>
            </w:tcBorders>
            <w:shd w:val="clear" w:color="auto" w:fill="C0C0C0"/>
          </w:tcPr>
          <w:p>
            <w:pPr>
              <w:spacing w:after="0"/>
              <w:rPr>
                <w:sz w:val="21"/>
                <w:szCs w:val="21"/>
                <w:color w:val="auto"/>
              </w:rPr>
            </w:pPr>
          </w:p>
        </w:tc>
        <w:tc>
          <w:tcPr>
            <w:tcW w:w="8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(23,119)</w:t>
            </w:r>
          </w:p>
        </w:tc>
        <w:tc>
          <w:tcPr>
            <w:tcW w:w="220" w:type="dxa"/>
            <w:vAlign w:val="bottom"/>
            <w:shd w:val="clear" w:color="auto" w:fill="C0C0C0"/>
          </w:tcPr>
          <w:p>
            <w:pPr>
              <w:spacing w:after="0"/>
              <w:rPr>
                <w:sz w:val="21"/>
                <w:szCs w:val="21"/>
                <w:color w:val="auto"/>
              </w:rPr>
            </w:pPr>
          </w:p>
        </w:tc>
        <w:tc>
          <w:tcPr>
            <w:tcW w:w="200" w:type="dxa"/>
            <w:vAlign w:val="bottom"/>
            <w:tcBorders>
              <w:bottom w:val="single" w:sz="8" w:color="auto"/>
            </w:tcBorders>
            <w:shd w:val="clear" w:color="auto" w:fill="C0C0C0"/>
          </w:tcPr>
          <w:p>
            <w:pPr>
              <w:spacing w:after="0"/>
              <w:rPr>
                <w:sz w:val="21"/>
                <w:szCs w:val="21"/>
                <w:color w:val="auto"/>
              </w:rPr>
            </w:pPr>
          </w:p>
        </w:tc>
        <w:tc>
          <w:tcPr>
            <w:tcW w:w="8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(18,474)</w:t>
            </w:r>
          </w:p>
        </w:tc>
      </w:tr>
      <w:tr>
        <w:trPr>
          <w:trHeight w:val="229"/>
        </w:trPr>
        <w:tc>
          <w:tcPr>
            <w:tcW w:w="894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51"/>
        </w:trPr>
        <w:tc>
          <w:tcPr>
            <w:tcW w:w="8940" w:type="dxa"/>
            <w:vAlign w:val="bottom"/>
            <w:shd w:val="clear" w:color="auto" w:fill="C0C0C0"/>
          </w:tcPr>
          <w:p>
            <w:pPr>
              <w:ind w:left="320"/>
              <w:spacing w:after="0"/>
              <w:rPr>
                <w:sz w:val="20"/>
                <w:szCs w:val="20"/>
                <w:color w:val="auto"/>
              </w:rPr>
            </w:pPr>
            <w:r>
              <w:rPr>
                <w:rFonts w:ascii="Arial" w:cs="Arial" w:eastAsia="Arial" w:hAnsi="Arial"/>
                <w:sz w:val="18"/>
                <w:szCs w:val="18"/>
                <w:color w:val="auto"/>
              </w:rPr>
              <w:t>Repayments of long-term borrowings</w:t>
            </w:r>
          </w:p>
        </w:tc>
        <w:tc>
          <w:tcPr>
            <w:tcW w:w="22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(24,346)</w:t>
            </w:r>
          </w:p>
        </w:tc>
        <w:tc>
          <w:tcPr>
            <w:tcW w:w="22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(7,250)</w:t>
            </w:r>
          </w:p>
        </w:tc>
      </w:tr>
      <w:tr>
        <w:trPr>
          <w:trHeight w:val="235"/>
        </w:trPr>
        <w:tc>
          <w:tcPr>
            <w:tcW w:w="8940" w:type="dxa"/>
            <w:vAlign w:val="bottom"/>
          </w:tcPr>
          <w:p>
            <w:pPr>
              <w:ind w:left="320"/>
              <w:spacing w:after="0"/>
              <w:rPr>
                <w:sz w:val="20"/>
                <w:szCs w:val="20"/>
                <w:color w:val="auto"/>
              </w:rPr>
            </w:pPr>
            <w:r>
              <w:rPr>
                <w:rFonts w:ascii="Arial" w:cs="Arial" w:eastAsia="Arial" w:hAnsi="Arial"/>
                <w:sz w:val="18"/>
                <w:szCs w:val="18"/>
                <w:color w:val="auto"/>
              </w:rPr>
              <w:t>Proceeds from long-term borrowings</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17,000</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3,822</w:t>
            </w:r>
          </w:p>
        </w:tc>
      </w:tr>
      <w:tr>
        <w:trPr>
          <w:trHeight w:val="251"/>
        </w:trPr>
        <w:tc>
          <w:tcPr>
            <w:tcW w:w="8940" w:type="dxa"/>
            <w:vAlign w:val="bottom"/>
            <w:shd w:val="clear" w:color="auto" w:fill="C0C0C0"/>
          </w:tcPr>
          <w:p>
            <w:pPr>
              <w:ind w:left="320"/>
              <w:spacing w:after="0"/>
              <w:rPr>
                <w:sz w:val="20"/>
                <w:szCs w:val="20"/>
                <w:color w:val="auto"/>
              </w:rPr>
            </w:pPr>
            <w:r>
              <w:rPr>
                <w:rFonts w:ascii="Arial" w:cs="Arial" w:eastAsia="Arial" w:hAnsi="Arial"/>
                <w:sz w:val="18"/>
                <w:szCs w:val="18"/>
                <w:color w:val="auto"/>
              </w:rPr>
              <w:t>Proceeds from share-based payments</w:t>
            </w:r>
          </w:p>
        </w:tc>
        <w:tc>
          <w:tcPr>
            <w:tcW w:w="220" w:type="dxa"/>
            <w:vAlign w:val="bottom"/>
            <w:shd w:val="clear" w:color="auto" w:fill="C0C0C0"/>
          </w:tcPr>
          <w:p>
            <w:pPr>
              <w:spacing w:after="0"/>
              <w:rPr>
                <w:sz w:val="21"/>
                <w:szCs w:val="21"/>
                <w:color w:val="auto"/>
              </w:rPr>
            </w:pPr>
          </w:p>
        </w:tc>
        <w:tc>
          <w:tcPr>
            <w:tcW w:w="200" w:type="dxa"/>
            <w:vAlign w:val="bottom"/>
            <w:tcBorders>
              <w:bottom w:val="single" w:sz="8" w:color="auto"/>
            </w:tcBorders>
            <w:shd w:val="clear" w:color="auto" w:fill="C0C0C0"/>
          </w:tcPr>
          <w:p>
            <w:pPr>
              <w:spacing w:after="0"/>
              <w:rPr>
                <w:sz w:val="21"/>
                <w:szCs w:val="21"/>
                <w:color w:val="auto"/>
              </w:rPr>
            </w:pPr>
          </w:p>
        </w:tc>
        <w:tc>
          <w:tcPr>
            <w:tcW w:w="82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159</w:t>
            </w:r>
          </w:p>
        </w:tc>
        <w:tc>
          <w:tcPr>
            <w:tcW w:w="220" w:type="dxa"/>
            <w:vAlign w:val="bottom"/>
            <w:shd w:val="clear" w:color="auto" w:fill="C0C0C0"/>
          </w:tcPr>
          <w:p>
            <w:pPr>
              <w:spacing w:after="0"/>
              <w:rPr>
                <w:sz w:val="21"/>
                <w:szCs w:val="21"/>
                <w:color w:val="auto"/>
              </w:rPr>
            </w:pPr>
          </w:p>
        </w:tc>
        <w:tc>
          <w:tcPr>
            <w:tcW w:w="200" w:type="dxa"/>
            <w:vAlign w:val="bottom"/>
            <w:tcBorders>
              <w:bottom w:val="single" w:sz="8" w:color="auto"/>
            </w:tcBorders>
            <w:shd w:val="clear" w:color="auto" w:fill="C0C0C0"/>
          </w:tcPr>
          <w:p>
            <w:pPr>
              <w:spacing w:after="0"/>
              <w:rPr>
                <w:sz w:val="21"/>
                <w:szCs w:val="21"/>
                <w:color w:val="auto"/>
              </w:rPr>
            </w:pPr>
          </w:p>
        </w:tc>
        <w:tc>
          <w:tcPr>
            <w:tcW w:w="82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30</w:t>
            </w:r>
          </w:p>
        </w:tc>
      </w:tr>
      <w:tr>
        <w:trPr>
          <w:trHeight w:val="230"/>
        </w:trPr>
        <w:tc>
          <w:tcPr>
            <w:tcW w:w="8940" w:type="dxa"/>
            <w:vAlign w:val="bottom"/>
            <w:tcBorders>
              <w:bottom w:val="single" w:sz="8" w:color="C0C0C0"/>
            </w:tcBorders>
          </w:tcPr>
          <w:p>
            <w:pPr>
              <w:spacing w:after="0"/>
              <w:rPr>
                <w:sz w:val="20"/>
                <w:szCs w:val="20"/>
                <w:color w:val="auto"/>
              </w:rPr>
            </w:pPr>
            <w:r>
              <w:rPr>
                <w:rFonts w:ascii="Arial" w:cs="Arial" w:eastAsia="Arial" w:hAnsi="Arial"/>
                <w:sz w:val="18"/>
                <w:szCs w:val="18"/>
                <w:color w:val="auto"/>
              </w:rPr>
              <w:t>Net cash used in financing activities</w:t>
            </w:r>
          </w:p>
        </w:tc>
        <w:tc>
          <w:tcPr>
            <w:tcW w:w="220" w:type="dxa"/>
            <w:vAlign w:val="bottom"/>
            <w:tcBorders>
              <w:bottom w:val="single" w:sz="8" w:color="C0C0C0"/>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(7,187)</w:t>
            </w:r>
          </w:p>
        </w:tc>
        <w:tc>
          <w:tcPr>
            <w:tcW w:w="220" w:type="dxa"/>
            <w:vAlign w:val="bottom"/>
            <w:tcBorders>
              <w:bottom w:val="single" w:sz="8" w:color="C0C0C0"/>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(3,398)</w:t>
            </w:r>
          </w:p>
        </w:tc>
      </w:tr>
      <w:tr>
        <w:trPr>
          <w:trHeight w:val="243"/>
        </w:trPr>
        <w:tc>
          <w:tcPr>
            <w:tcW w:w="8940" w:type="dxa"/>
            <w:vAlign w:val="bottom"/>
            <w:shd w:val="clear" w:color="auto" w:fill="C0C0C0"/>
          </w:tcPr>
          <w:p>
            <w:pPr>
              <w:spacing w:after="0"/>
              <w:rPr>
                <w:sz w:val="20"/>
                <w:szCs w:val="20"/>
                <w:color w:val="auto"/>
              </w:rPr>
            </w:pPr>
            <w:r>
              <w:rPr>
                <w:rFonts w:ascii="Arial" w:cs="Arial" w:eastAsia="Arial" w:hAnsi="Arial"/>
                <w:sz w:val="18"/>
                <w:szCs w:val="18"/>
                <w:color w:val="auto"/>
              </w:rPr>
              <w:t>Effect of exchange rate changes on cash</w:t>
            </w:r>
          </w:p>
        </w:tc>
        <w:tc>
          <w:tcPr>
            <w:tcW w:w="220" w:type="dxa"/>
            <w:vAlign w:val="bottom"/>
            <w:shd w:val="clear" w:color="auto" w:fill="C0C0C0"/>
          </w:tcPr>
          <w:p>
            <w:pPr>
              <w:spacing w:after="0"/>
              <w:rPr>
                <w:sz w:val="21"/>
                <w:szCs w:val="21"/>
                <w:color w:val="auto"/>
              </w:rPr>
            </w:pPr>
          </w:p>
        </w:tc>
        <w:tc>
          <w:tcPr>
            <w:tcW w:w="200" w:type="dxa"/>
            <w:vAlign w:val="bottom"/>
            <w:tcBorders>
              <w:bottom w:val="single" w:sz="8" w:color="auto"/>
            </w:tcBorders>
            <w:shd w:val="clear" w:color="auto" w:fill="C0C0C0"/>
          </w:tcPr>
          <w:p>
            <w:pPr>
              <w:spacing w:after="0"/>
              <w:rPr>
                <w:sz w:val="21"/>
                <w:szCs w:val="21"/>
                <w:color w:val="auto"/>
              </w:rPr>
            </w:pPr>
          </w:p>
        </w:tc>
        <w:tc>
          <w:tcPr>
            <w:tcW w:w="82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2,429</w:t>
            </w:r>
          </w:p>
        </w:tc>
        <w:tc>
          <w:tcPr>
            <w:tcW w:w="220" w:type="dxa"/>
            <w:vAlign w:val="bottom"/>
            <w:shd w:val="clear" w:color="auto" w:fill="C0C0C0"/>
          </w:tcPr>
          <w:p>
            <w:pPr>
              <w:spacing w:after="0"/>
              <w:rPr>
                <w:sz w:val="21"/>
                <w:szCs w:val="21"/>
                <w:color w:val="auto"/>
              </w:rPr>
            </w:pPr>
          </w:p>
        </w:tc>
        <w:tc>
          <w:tcPr>
            <w:tcW w:w="200" w:type="dxa"/>
            <w:vAlign w:val="bottom"/>
            <w:tcBorders>
              <w:bottom w:val="single" w:sz="8" w:color="auto"/>
            </w:tcBorders>
            <w:shd w:val="clear" w:color="auto" w:fill="C0C0C0"/>
          </w:tcPr>
          <w:p>
            <w:pPr>
              <w:spacing w:after="0"/>
              <w:rPr>
                <w:sz w:val="21"/>
                <w:szCs w:val="21"/>
                <w:color w:val="auto"/>
              </w:rPr>
            </w:pPr>
          </w:p>
        </w:tc>
        <w:tc>
          <w:tcPr>
            <w:tcW w:w="82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1,319</w:t>
            </w:r>
          </w:p>
        </w:tc>
      </w:tr>
      <w:tr>
        <w:trPr>
          <w:trHeight w:val="229"/>
        </w:trPr>
        <w:tc>
          <w:tcPr>
            <w:tcW w:w="894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13,778</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(4,138)</w:t>
            </w:r>
          </w:p>
        </w:tc>
      </w:tr>
      <w:tr>
        <w:trPr>
          <w:trHeight w:val="244"/>
        </w:trPr>
        <w:tc>
          <w:tcPr>
            <w:tcW w:w="8940" w:type="dxa"/>
            <w:vAlign w:val="bottom"/>
            <w:shd w:val="clear" w:color="auto" w:fill="C0C0C0"/>
          </w:tcPr>
          <w:p>
            <w:pPr>
              <w:spacing w:after="0"/>
              <w:rPr>
                <w:sz w:val="20"/>
                <w:szCs w:val="20"/>
                <w:color w:val="auto"/>
              </w:rPr>
            </w:pPr>
            <w:r>
              <w:rPr>
                <w:rFonts w:ascii="Arial" w:cs="Arial" w:eastAsia="Arial" w:hAnsi="Arial"/>
                <w:sz w:val="18"/>
                <w:szCs w:val="18"/>
                <w:color w:val="auto"/>
              </w:rPr>
              <w:t>Cash and cash equivalents at beginning of period</w:t>
            </w:r>
          </w:p>
        </w:tc>
        <w:tc>
          <w:tcPr>
            <w:tcW w:w="220" w:type="dxa"/>
            <w:vAlign w:val="bottom"/>
            <w:shd w:val="clear" w:color="auto" w:fill="C0C0C0"/>
          </w:tcPr>
          <w:p>
            <w:pPr>
              <w:spacing w:after="0"/>
              <w:rPr>
                <w:sz w:val="21"/>
                <w:szCs w:val="21"/>
                <w:color w:val="auto"/>
              </w:rPr>
            </w:pPr>
          </w:p>
        </w:tc>
        <w:tc>
          <w:tcPr>
            <w:tcW w:w="200" w:type="dxa"/>
            <w:vAlign w:val="bottom"/>
            <w:tcBorders>
              <w:bottom w:val="single" w:sz="8" w:color="auto"/>
            </w:tcBorders>
            <w:shd w:val="clear" w:color="auto" w:fill="C0C0C0"/>
          </w:tcPr>
          <w:p>
            <w:pPr>
              <w:spacing w:after="0"/>
              <w:rPr>
                <w:sz w:val="21"/>
                <w:szCs w:val="21"/>
                <w:color w:val="auto"/>
              </w:rPr>
            </w:pPr>
          </w:p>
        </w:tc>
        <w:tc>
          <w:tcPr>
            <w:tcW w:w="82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98,945</w:t>
            </w:r>
          </w:p>
        </w:tc>
        <w:tc>
          <w:tcPr>
            <w:tcW w:w="220" w:type="dxa"/>
            <w:vAlign w:val="bottom"/>
            <w:shd w:val="clear" w:color="auto" w:fill="C0C0C0"/>
          </w:tcPr>
          <w:p>
            <w:pPr>
              <w:spacing w:after="0"/>
              <w:rPr>
                <w:sz w:val="21"/>
                <w:szCs w:val="21"/>
                <w:color w:val="auto"/>
              </w:rPr>
            </w:pPr>
          </w:p>
        </w:tc>
        <w:tc>
          <w:tcPr>
            <w:tcW w:w="200" w:type="dxa"/>
            <w:vAlign w:val="bottom"/>
            <w:tcBorders>
              <w:bottom w:val="single" w:sz="8" w:color="auto"/>
            </w:tcBorders>
            <w:shd w:val="clear" w:color="auto" w:fill="C0C0C0"/>
          </w:tcPr>
          <w:p>
            <w:pPr>
              <w:spacing w:after="0"/>
              <w:rPr>
                <w:sz w:val="21"/>
                <w:szCs w:val="21"/>
                <w:color w:val="auto"/>
              </w:rPr>
            </w:pPr>
          </w:p>
        </w:tc>
        <w:tc>
          <w:tcPr>
            <w:tcW w:w="82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88,539</w:t>
            </w:r>
          </w:p>
        </w:tc>
      </w:tr>
      <w:tr>
        <w:trPr>
          <w:trHeight w:val="250"/>
        </w:trPr>
        <w:tc>
          <w:tcPr>
            <w:tcW w:w="894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42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112,723</w:t>
            </w:r>
          </w:p>
        </w:tc>
        <w:tc>
          <w:tcPr>
            <w:tcW w:w="220" w:type="dxa"/>
            <w:vAlign w:val="bottom"/>
          </w:tcPr>
          <w:p>
            <w:pPr>
              <w:spacing w:after="0"/>
              <w:rPr>
                <w:sz w:val="21"/>
                <w:szCs w:val="21"/>
                <w:color w:val="auto"/>
              </w:rPr>
            </w:pPr>
          </w:p>
        </w:tc>
        <w:tc>
          <w:tcPr>
            <w:tcW w:w="200" w:type="dxa"/>
            <w:vAlign w:val="bottom"/>
          </w:tcPr>
          <w:p>
            <w:pPr>
              <w:jc w:val="right"/>
              <w:ind w:right="4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84,401</w:t>
            </w:r>
          </w:p>
        </w:tc>
      </w:tr>
      <w:tr>
        <w:trPr>
          <w:trHeight w:val="243"/>
        </w:trPr>
        <w:tc>
          <w:tcPr>
            <w:tcW w:w="8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r>
      <w:tr>
        <w:trPr>
          <w:trHeight w:val="243"/>
        </w:trPr>
        <w:tc>
          <w:tcPr>
            <w:tcW w:w="8940" w:type="dxa"/>
            <w:vAlign w:val="bottom"/>
            <w:shd w:val="clear" w:color="auto" w:fill="C0C0C0"/>
          </w:tcPr>
          <w:p>
            <w:pPr>
              <w:spacing w:after="0"/>
              <w:rPr>
                <w:sz w:val="20"/>
                <w:szCs w:val="20"/>
                <w:color w:val="auto"/>
              </w:rPr>
            </w:pPr>
            <w:r>
              <w:rPr>
                <w:rFonts w:ascii="Arial" w:cs="Arial" w:eastAsia="Arial" w:hAnsi="Arial"/>
                <w:sz w:val="18"/>
                <w:szCs w:val="18"/>
                <w:color w:val="auto"/>
              </w:rPr>
              <w:t>Supplemental disclosure of cash flow information:</w:t>
            </w:r>
          </w:p>
        </w:tc>
        <w:tc>
          <w:tcPr>
            <w:tcW w:w="22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2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20" w:type="dxa"/>
            <w:vAlign w:val="bottom"/>
            <w:shd w:val="clear" w:color="auto" w:fill="C0C0C0"/>
          </w:tcPr>
          <w:p>
            <w:pPr>
              <w:spacing w:after="0"/>
              <w:rPr>
                <w:sz w:val="21"/>
                <w:szCs w:val="21"/>
                <w:color w:val="auto"/>
              </w:rPr>
            </w:pPr>
          </w:p>
        </w:tc>
      </w:tr>
      <w:tr>
        <w:trPr>
          <w:trHeight w:val="228"/>
        </w:trPr>
        <w:tc>
          <w:tcPr>
            <w:tcW w:w="8940" w:type="dxa"/>
            <w:vAlign w:val="bottom"/>
          </w:tcPr>
          <w:p>
            <w:pPr>
              <w:ind w:left="320"/>
              <w:spacing w:after="0"/>
              <w:rPr>
                <w:sz w:val="20"/>
                <w:szCs w:val="20"/>
                <w:color w:val="auto"/>
              </w:rPr>
            </w:pPr>
            <w:r>
              <w:rPr>
                <w:rFonts w:ascii="Arial" w:cs="Arial" w:eastAsia="Arial" w:hAnsi="Arial"/>
                <w:sz w:val="18"/>
                <w:szCs w:val="18"/>
                <w:color w:val="auto"/>
              </w:rPr>
              <w:t>Change in accrual for purchases of property, plant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43"/>
        </w:trPr>
        <w:tc>
          <w:tcPr>
            <w:tcW w:w="8940" w:type="dxa"/>
            <w:vAlign w:val="bottom"/>
          </w:tcPr>
          <w:p>
            <w:pPr>
              <w:ind w:left="620"/>
              <w:spacing w:after="0"/>
              <w:rPr>
                <w:sz w:val="20"/>
                <w:szCs w:val="20"/>
                <w:color w:val="auto"/>
              </w:rPr>
            </w:pPr>
            <w:r>
              <w:rPr>
                <w:rFonts w:ascii="Arial" w:cs="Arial" w:eastAsia="Arial" w:hAnsi="Arial"/>
                <w:sz w:val="18"/>
                <w:szCs w:val="18"/>
                <w:color w:val="auto"/>
              </w:rPr>
              <w:t>and equipment</w:t>
            </w:r>
          </w:p>
        </w:tc>
        <w:tc>
          <w:tcPr>
            <w:tcW w:w="42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13,273</w:t>
            </w:r>
          </w:p>
        </w:tc>
        <w:tc>
          <w:tcPr>
            <w:tcW w:w="220" w:type="dxa"/>
            <w:vAlign w:val="bottom"/>
          </w:tcPr>
          <w:p>
            <w:pPr>
              <w:spacing w:after="0"/>
              <w:rPr>
                <w:sz w:val="21"/>
                <w:szCs w:val="21"/>
                <w:color w:val="auto"/>
              </w:rPr>
            </w:pPr>
          </w:p>
        </w:tc>
        <w:tc>
          <w:tcPr>
            <w:tcW w:w="200" w:type="dxa"/>
            <w:vAlign w:val="bottom"/>
          </w:tcPr>
          <w:p>
            <w:pPr>
              <w:jc w:val="right"/>
              <w:ind w:right="4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(227)</w:t>
            </w:r>
          </w:p>
        </w:tc>
      </w:tr>
    </w:tbl>
    <w:p>
      <w:pPr>
        <w:spacing w:after="0" w:line="2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r>
        <w:rPr>
          <w:rFonts w:ascii="Arial" w:cs="Arial" w:eastAsia="Arial" w:hAnsi="Arial"/>
          <w:sz w:val="18"/>
          <w:szCs w:val="18"/>
          <w:color w:val="auto"/>
        </w:rPr>
        <w: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6" w:name="page7"/>
    <w:bookmarkEnd w:id="6"/>
    <w:p>
      <w:pPr>
        <w:jc w:val="center"/>
        <w:ind w:right="-39"/>
        <w:spacing w:after="0"/>
        <w:rPr>
          <w:sz w:val="20"/>
          <w:szCs w:val="20"/>
          <w:color w:val="auto"/>
        </w:rPr>
      </w:pPr>
      <w:r>
        <w:rPr>
          <w:rFonts w:ascii="Arial" w:cs="Arial" w:eastAsia="Arial" w:hAnsi="Arial"/>
          <w:sz w:val="18"/>
          <w:szCs w:val="18"/>
          <w:b w:val="1"/>
          <w:bCs w:val="1"/>
          <w:color w:val="auto"/>
        </w:rPr>
        <w:t>PHOTRONICS, INC.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Three Months Ended January 30, 2011 and January 31, 2010</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amounts)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FINANCIAL STATEMENT PRESENTATION</w:t>
      </w:r>
    </w:p>
    <w:p>
      <w:pPr>
        <w:spacing w:after="0" w:line="285" w:lineRule="exact"/>
        <w:rPr>
          <w:sz w:val="20"/>
          <w:szCs w:val="20"/>
          <w:color w:val="auto"/>
        </w:rPr>
      </w:pPr>
    </w:p>
    <w:p>
      <w:pPr>
        <w:ind w:right="40" w:firstLine="270"/>
        <w:spacing w:after="0" w:line="294" w:lineRule="auto"/>
        <w:rPr>
          <w:sz w:val="20"/>
          <w:szCs w:val="20"/>
          <w:color w:val="auto"/>
        </w:rPr>
      </w:pPr>
      <w:r>
        <w:rPr>
          <w:rFonts w:ascii="Arial" w:cs="Arial" w:eastAsia="Arial" w:hAnsi="Arial"/>
          <w:sz w:val="16"/>
          <w:szCs w:val="16"/>
          <w:color w:val="auto"/>
        </w:rPr>
        <w:t>Photronics, Inc. and its subsidiaries ("Photronics" or the "Company") is one of the world's leading manufacturers of photomasks, which are high precision photographic quartz plates containing microscopic images of electronic circuits. Photomasks are a key element in the manufacture of semiconductors and flat panel displays ("FPDs"), and are used as masters to transfer circuit patterns onto semiconductor wafers and flat panel substrates during the fabrication of integrated circuits ("ICs") and a variety of FPDs and, to a lesser extent, other types of electrical and optical components. The Company currently operates principally from nine manufacturing facilities, two of which are located in Europe, two in Taiwan, one in Korea, one in Singapore, and three in the United States.</w:t>
      </w:r>
    </w:p>
    <w:p>
      <w:pPr>
        <w:spacing w:after="0" w:line="224" w:lineRule="exact"/>
        <w:rPr>
          <w:sz w:val="20"/>
          <w:szCs w:val="20"/>
          <w:color w:val="auto"/>
        </w:rPr>
      </w:pPr>
    </w:p>
    <w:p>
      <w:pPr>
        <w:jc w:val="both"/>
        <w:ind w:firstLine="270"/>
        <w:spacing w:after="0" w:line="283"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accounting principles generally accepted in the United States of America for interim financial information and with the instructions to Form 10-Q and Article 10 of Regulation S-X. Accordingly, they do not include all of the information and footnotes required by accounting principles generally accepted in the United States of America for annual financial statements. In the opinion of management, all adjustments (consisting of normal recurring accruals) considered necessary for a fair presentation have been included.</w:t>
      </w:r>
    </w:p>
    <w:p>
      <w:pPr>
        <w:spacing w:after="0" w:line="3"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Operating results for the interim period are not necessarily indicative of the results that may be expected for the fiscal year ending October 30, 2011. For further information, refer to the consolidated financial statements and footnotes thereto included in the Company's Annual Report on Form 10-K for the year ended October 31, 2010.</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80"/>
          </w:cols>
          <w:pgMar w:left="240" w:top="611" w:right="27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NOTE 2 - CHANGES IN EQUITY AND COMPREHENSIVE INCOME</w:t>
      </w:r>
    </w:p>
    <w:p>
      <w:pPr>
        <w:spacing w:after="0" w:line="285" w:lineRule="exact"/>
        <w:rPr>
          <w:sz w:val="20"/>
          <w:szCs w:val="20"/>
          <w:color w:val="auto"/>
        </w:rPr>
      </w:pPr>
    </w:p>
    <w:p>
      <w:pPr>
        <w:ind w:right="140" w:firstLine="270"/>
        <w:spacing w:after="0" w:line="268" w:lineRule="auto"/>
        <w:rPr>
          <w:sz w:val="20"/>
          <w:szCs w:val="20"/>
          <w:color w:val="auto"/>
        </w:rPr>
      </w:pPr>
      <w:r>
        <w:rPr>
          <w:rFonts w:ascii="Arial" w:cs="Arial" w:eastAsia="Arial" w:hAnsi="Arial"/>
          <w:sz w:val="18"/>
          <w:szCs w:val="18"/>
          <w:color w:val="auto"/>
        </w:rPr>
        <w:t>The following tables set forth the Company's consolidated changes in equity and comprehensive income (all items of other comprehensive income are net of tax of $0) for the three months ended January 30, 2011 and January 31, 2010:</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60" w:type="dxa"/>
            <w:vAlign w:val="bottom"/>
            <w:gridSpan w:val="13"/>
          </w:tcPr>
          <w:p>
            <w:pPr>
              <w:ind w:left="20"/>
              <w:spacing w:after="0"/>
              <w:rPr>
                <w:sz w:val="20"/>
                <w:szCs w:val="20"/>
                <w:color w:val="auto"/>
              </w:rPr>
            </w:pPr>
            <w:r>
              <w:rPr>
                <w:rFonts w:ascii="Arial" w:cs="Arial" w:eastAsia="Arial" w:hAnsi="Arial"/>
                <w:sz w:val="14"/>
                <w:szCs w:val="14"/>
                <w:b w:val="1"/>
                <w:bCs w:val="1"/>
                <w:color w:val="auto"/>
              </w:rPr>
              <w:t>Three Months Ended January 30, 2011</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41"/>
        </w:trPr>
        <w:tc>
          <w:tcPr>
            <w:tcW w:w="4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gridSpan w:val="4"/>
          </w:tcPr>
          <w:p>
            <w:pPr>
              <w:spacing w:after="0"/>
              <w:rPr>
                <w:sz w:val="3"/>
                <w:szCs w:val="3"/>
                <w:color w:val="auto"/>
              </w:rPr>
            </w:pPr>
          </w:p>
        </w:tc>
        <w:tc>
          <w:tcPr>
            <w:tcW w:w="22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gridSpan w:val="2"/>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r>
      <w:tr>
        <w:trPr>
          <w:trHeight w:val="196"/>
        </w:trPr>
        <w:tc>
          <w:tcPr>
            <w:tcW w:w="4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gridSpan w:val="10"/>
          </w:tcPr>
          <w:p>
            <w:pPr>
              <w:jc w:val="right"/>
              <w:spacing w:after="0"/>
              <w:rPr>
                <w:sz w:val="20"/>
                <w:szCs w:val="20"/>
                <w:color w:val="auto"/>
              </w:rPr>
            </w:pPr>
            <w:r>
              <w:rPr>
                <w:rFonts w:ascii="Arial" w:cs="Arial" w:eastAsia="Arial" w:hAnsi="Arial"/>
                <w:sz w:val="14"/>
                <w:szCs w:val="14"/>
                <w:b w:val="1"/>
                <w:bCs w:val="1"/>
                <w:color w:val="auto"/>
                <w:w w:val="88"/>
              </w:rPr>
              <w:t>Photronics, Inc. Shareholders</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41"/>
        </w:trPr>
        <w:tc>
          <w:tcPr>
            <w:tcW w:w="4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r>
      <w:tr>
        <w:trPr>
          <w:trHeight w:val="196"/>
        </w:trPr>
        <w:tc>
          <w:tcPr>
            <w:tcW w:w="4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Accum-</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43"/>
        </w:trPr>
        <w:tc>
          <w:tcPr>
            <w:tcW w:w="4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5"/>
              </w:rPr>
              <w:t>Accum-</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ulated</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r>
      <w:tr>
        <w:trPr>
          <w:trHeight w:val="243"/>
        </w:trPr>
        <w:tc>
          <w:tcPr>
            <w:tcW w:w="4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7"/>
              </w:rPr>
              <w:t>ulated</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r>
      <w:tr>
        <w:trPr>
          <w:trHeight w:val="243"/>
        </w:trPr>
        <w:tc>
          <w:tcPr>
            <w:tcW w:w="4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Add'l</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2"/>
              </w:rPr>
              <w:t>(Deficit)</w:t>
            </w:r>
          </w:p>
        </w:tc>
        <w:tc>
          <w:tcPr>
            <w:tcW w:w="80" w:type="dxa"/>
            <w:vAlign w:val="bottom"/>
          </w:tcPr>
          <w:p>
            <w:pPr>
              <w:spacing w:after="0"/>
              <w:rPr>
                <w:sz w:val="21"/>
                <w:szCs w:val="21"/>
                <w:color w:val="auto"/>
              </w:rPr>
            </w:pPr>
          </w:p>
        </w:tc>
        <w:tc>
          <w:tcPr>
            <w:tcW w:w="7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Compre-</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Total</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jc w:val="center"/>
              <w:ind w:right="12"/>
              <w:spacing w:after="0"/>
              <w:rPr>
                <w:sz w:val="20"/>
                <w:szCs w:val="20"/>
                <w:color w:val="auto"/>
              </w:rPr>
            </w:pPr>
            <w:r>
              <w:rPr>
                <w:rFonts w:ascii="Arial" w:cs="Arial" w:eastAsia="Arial" w:hAnsi="Arial"/>
                <w:sz w:val="14"/>
                <w:szCs w:val="14"/>
                <w:b w:val="1"/>
                <w:bCs w:val="1"/>
                <w:color w:val="auto"/>
                <w:w w:val="87"/>
              </w:rPr>
              <w:t>Non-</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r>
      <w:tr>
        <w:trPr>
          <w:trHeight w:val="243"/>
        </w:trPr>
        <w:tc>
          <w:tcPr>
            <w:tcW w:w="4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gridSpan w:val="7"/>
          </w:tcPr>
          <w:p>
            <w:pPr>
              <w:jc w:val="right"/>
              <w:ind w:right="220"/>
              <w:spacing w:after="0"/>
              <w:rPr>
                <w:sz w:val="20"/>
                <w:szCs w:val="20"/>
                <w:color w:val="auto"/>
              </w:rPr>
            </w:pPr>
            <w:r>
              <w:rPr>
                <w:rFonts w:ascii="Arial" w:cs="Arial" w:eastAsia="Arial" w:hAnsi="Arial"/>
                <w:sz w:val="14"/>
                <w:szCs w:val="14"/>
                <w:b w:val="1"/>
                <w:bCs w:val="1"/>
                <w:color w:val="auto"/>
                <w:w w:val="95"/>
              </w:rPr>
              <w:t>Common Stock</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w w:val="94"/>
              </w:rPr>
              <w:t>Paid-in</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7"/>
              </w:rPr>
              <w:t>Retained</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hensive</w:t>
            </w:r>
          </w:p>
        </w:tc>
        <w:tc>
          <w:tcPr>
            <w:tcW w:w="120" w:type="dxa"/>
            <w:vAlign w:val="bottom"/>
          </w:tcPr>
          <w:p>
            <w:pPr>
              <w:spacing w:after="0"/>
              <w:rPr>
                <w:sz w:val="21"/>
                <w:szCs w:val="21"/>
                <w:color w:val="auto"/>
              </w:rPr>
            </w:pPr>
          </w:p>
        </w:tc>
        <w:tc>
          <w:tcPr>
            <w:tcW w:w="8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5"/>
              </w:rPr>
              <w:t>Photronics,</w:t>
            </w:r>
          </w:p>
        </w:tc>
        <w:tc>
          <w:tcPr>
            <w:tcW w:w="120" w:type="dxa"/>
            <w:vAlign w:val="bottom"/>
          </w:tcPr>
          <w:p>
            <w:pPr>
              <w:spacing w:after="0"/>
              <w:rPr>
                <w:sz w:val="21"/>
                <w:szCs w:val="21"/>
                <w:color w:val="auto"/>
              </w:rPr>
            </w:pP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controlling</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center"/>
              <w:ind w:right="52"/>
              <w:spacing w:after="0"/>
              <w:rPr>
                <w:sz w:val="20"/>
                <w:szCs w:val="20"/>
                <w:color w:val="auto"/>
              </w:rPr>
            </w:pPr>
            <w:r>
              <w:rPr>
                <w:rFonts w:ascii="Arial" w:cs="Arial" w:eastAsia="Arial" w:hAnsi="Arial"/>
                <w:sz w:val="14"/>
                <w:szCs w:val="14"/>
                <w:b w:val="1"/>
                <w:bCs w:val="1"/>
                <w:color w:val="auto"/>
                <w:w w:val="89"/>
              </w:rPr>
              <w:t>Total</w:t>
            </w:r>
          </w:p>
        </w:tc>
      </w:tr>
      <w:tr>
        <w:trPr>
          <w:trHeight w:val="41"/>
        </w:trPr>
        <w:tc>
          <w:tcPr>
            <w:tcW w:w="4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r>
      <w:tr>
        <w:trPr>
          <w:trHeight w:val="196"/>
        </w:trPr>
        <w:tc>
          <w:tcPr>
            <w:tcW w:w="4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gridSpan w:val="2"/>
          </w:tcPr>
          <w:p>
            <w:pPr>
              <w:jc w:val="right"/>
              <w:spacing w:after="0"/>
              <w:rPr>
                <w:sz w:val="20"/>
                <w:szCs w:val="20"/>
                <w:color w:val="auto"/>
              </w:rPr>
            </w:pPr>
            <w:r>
              <w:rPr>
                <w:rFonts w:ascii="Arial" w:cs="Arial" w:eastAsia="Arial" w:hAnsi="Arial"/>
                <w:sz w:val="14"/>
                <w:szCs w:val="14"/>
                <w:b w:val="1"/>
                <w:bCs w:val="1"/>
                <w:color w:val="auto"/>
                <w:w w:val="81"/>
              </w:rPr>
              <w:t>Shares</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86"/>
              </w:rPr>
              <w:t>Amount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6"/>
              </w:rPr>
              <w:t>Earnings</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Income</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Inc.</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center"/>
              <w:ind w:right="32"/>
              <w:spacing w:after="0"/>
              <w:rPr>
                <w:sz w:val="20"/>
                <w:szCs w:val="20"/>
                <w:color w:val="auto"/>
              </w:rPr>
            </w:pPr>
            <w:r>
              <w:rPr>
                <w:rFonts w:ascii="Arial" w:cs="Arial" w:eastAsia="Arial" w:hAnsi="Arial"/>
                <w:sz w:val="14"/>
                <w:szCs w:val="14"/>
                <w:b w:val="1"/>
                <w:bCs w:val="1"/>
                <w:color w:val="auto"/>
                <w:w w:val="85"/>
              </w:rPr>
              <w:t>Interests</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center"/>
              <w:ind w:right="52"/>
              <w:spacing w:after="0"/>
              <w:rPr>
                <w:sz w:val="20"/>
                <w:szCs w:val="20"/>
                <w:color w:val="auto"/>
              </w:rPr>
            </w:pPr>
            <w:r>
              <w:rPr>
                <w:rFonts w:ascii="Arial" w:cs="Arial" w:eastAsia="Arial" w:hAnsi="Arial"/>
                <w:sz w:val="14"/>
                <w:szCs w:val="14"/>
                <w:b w:val="1"/>
                <w:bCs w:val="1"/>
                <w:color w:val="auto"/>
                <w:w w:val="88"/>
              </w:rPr>
              <w:t>Equity</w:t>
            </w:r>
          </w:p>
        </w:tc>
      </w:tr>
      <w:tr>
        <w:trPr>
          <w:trHeight w:val="41"/>
        </w:trPr>
        <w:tc>
          <w:tcPr>
            <w:tcW w:w="4360" w:type="dxa"/>
            <w:vAlign w:val="bottom"/>
            <w:tcBorders>
              <w:bottom w:val="single" w:sz="8" w:color="C0C0C0"/>
            </w:tcBorders>
          </w:tcPr>
          <w:p>
            <w:pPr>
              <w:spacing w:after="0"/>
              <w:rPr>
                <w:sz w:val="3"/>
                <w:szCs w:val="3"/>
                <w:color w:val="auto"/>
              </w:rPr>
            </w:pPr>
          </w:p>
        </w:tc>
        <w:tc>
          <w:tcPr>
            <w:tcW w:w="220" w:type="dxa"/>
            <w:vAlign w:val="bottom"/>
            <w:tcBorders>
              <w:bottom w:val="single" w:sz="8" w:color="C0C0C0"/>
            </w:tcBorders>
          </w:tcPr>
          <w:p>
            <w:pPr>
              <w:spacing w:after="0"/>
              <w:rPr>
                <w:sz w:val="3"/>
                <w:szCs w:val="3"/>
                <w:color w:val="auto"/>
              </w:rPr>
            </w:pPr>
          </w:p>
        </w:tc>
        <w:tc>
          <w:tcPr>
            <w:tcW w:w="340" w:type="dxa"/>
            <w:vAlign w:val="bottom"/>
            <w:tcBorders>
              <w:bottom w:val="single" w:sz="8" w:color="C0C0C0"/>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40" w:type="dxa"/>
            <w:vAlign w:val="bottom"/>
            <w:tcBorders>
              <w:bottom w:val="single" w:sz="8" w:color="C0C0C0"/>
            </w:tcBorders>
          </w:tcPr>
          <w:p>
            <w:pPr>
              <w:spacing w:after="0"/>
              <w:rPr>
                <w:sz w:val="3"/>
                <w:szCs w:val="3"/>
                <w:color w:val="auto"/>
              </w:rPr>
            </w:pPr>
          </w:p>
        </w:tc>
        <w:tc>
          <w:tcPr>
            <w:tcW w:w="80" w:type="dxa"/>
            <w:vAlign w:val="bottom"/>
            <w:tcBorders>
              <w:bottom w:val="single" w:sz="8" w:color="C0C0C0"/>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120" w:type="dxa"/>
            <w:vAlign w:val="bottom"/>
            <w:tcBorders>
              <w:bottom w:val="single" w:sz="8" w:color="C0C0C0"/>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C0C0C0"/>
            </w:tcBorders>
          </w:tcPr>
          <w:p>
            <w:pPr>
              <w:spacing w:after="0"/>
              <w:rPr>
                <w:sz w:val="3"/>
                <w:szCs w:val="3"/>
                <w:color w:val="auto"/>
              </w:rPr>
            </w:pPr>
          </w:p>
        </w:tc>
        <w:tc>
          <w:tcPr>
            <w:tcW w:w="80" w:type="dxa"/>
            <w:vAlign w:val="bottom"/>
            <w:tcBorders>
              <w:bottom w:val="single" w:sz="8" w:color="C0C0C0"/>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120" w:type="dxa"/>
            <w:vAlign w:val="bottom"/>
            <w:tcBorders>
              <w:bottom w:val="single" w:sz="8" w:color="C0C0C0"/>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120" w:type="dxa"/>
            <w:vAlign w:val="bottom"/>
            <w:tcBorders>
              <w:bottom w:val="single" w:sz="8" w:color="C0C0C0"/>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20" w:type="dxa"/>
            <w:vAlign w:val="bottom"/>
            <w:tcBorders>
              <w:bottom w:val="single" w:sz="8" w:color="C0C0C0"/>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r>
      <w:tr>
        <w:trPr>
          <w:trHeight w:val="217"/>
        </w:trPr>
        <w:tc>
          <w:tcPr>
            <w:tcW w:w="436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4"/>
                <w:szCs w:val="14"/>
                <w:b w:val="1"/>
                <w:bCs w:val="1"/>
                <w:color w:val="auto"/>
              </w:rPr>
              <w:t>Balance at November 1, 2010</w:t>
            </w:r>
          </w:p>
        </w:tc>
        <w:tc>
          <w:tcPr>
            <w:tcW w:w="960" w:type="dxa"/>
            <w:vAlign w:val="bottom"/>
            <w:tcBorders>
              <w:bottom w:val="single" w:sz="8" w:color="C0C0C0"/>
            </w:tcBorders>
            <w:gridSpan w:val="4"/>
            <w:shd w:val="clear" w:color="auto" w:fill="C0C0C0"/>
          </w:tcPr>
          <w:p>
            <w:pPr>
              <w:jc w:val="right"/>
              <w:spacing w:after="0"/>
              <w:rPr>
                <w:sz w:val="20"/>
                <w:szCs w:val="20"/>
                <w:color w:val="auto"/>
              </w:rPr>
            </w:pPr>
            <w:r>
              <w:rPr>
                <w:rFonts w:ascii="Arial" w:cs="Arial" w:eastAsia="Arial" w:hAnsi="Arial"/>
                <w:sz w:val="14"/>
                <w:szCs w:val="14"/>
                <w:color w:val="auto"/>
              </w:rPr>
              <w:t>53,779</w:t>
            </w:r>
          </w:p>
        </w:tc>
        <w:tc>
          <w:tcPr>
            <w:tcW w:w="140" w:type="dxa"/>
            <w:vAlign w:val="bottom"/>
            <w:tcBorders>
              <w:bottom w:val="single" w:sz="8" w:color="C0C0C0"/>
            </w:tcBorders>
            <w:shd w:val="clear" w:color="auto" w:fill="C0C0C0"/>
          </w:tcPr>
          <w:p>
            <w:pPr>
              <w:spacing w:after="0"/>
              <w:rPr>
                <w:sz w:val="18"/>
                <w:szCs w:val="18"/>
                <w:color w:val="auto"/>
              </w:rPr>
            </w:pPr>
          </w:p>
        </w:tc>
        <w:tc>
          <w:tcPr>
            <w:tcW w:w="360" w:type="dxa"/>
            <w:vAlign w:val="bottom"/>
            <w:tcBorders>
              <w:bottom w:val="single" w:sz="8" w:color="C0C0C0"/>
            </w:tcBorders>
            <w:gridSpan w:val="2"/>
            <w:shd w:val="clear" w:color="auto" w:fill="C0C0C0"/>
          </w:tcPr>
          <w:p>
            <w:pPr>
              <w:jc w:val="right"/>
              <w:ind w:right="152"/>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w w:val="85"/>
              </w:rPr>
              <w:t>538</w:t>
            </w:r>
          </w:p>
        </w:tc>
        <w:tc>
          <w:tcPr>
            <w:tcW w:w="100" w:type="dxa"/>
            <w:vAlign w:val="bottom"/>
            <w:tcBorders>
              <w:bottom w:val="single" w:sz="8" w:color="C0C0C0"/>
            </w:tcBorders>
            <w:shd w:val="clear" w:color="auto" w:fill="C0C0C0"/>
          </w:tcPr>
          <w:p>
            <w:pPr>
              <w:spacing w:after="0"/>
              <w:rPr>
                <w:sz w:val="18"/>
                <w:szCs w:val="18"/>
                <w:color w:val="auto"/>
              </w:rPr>
            </w:pPr>
          </w:p>
        </w:tc>
        <w:tc>
          <w:tcPr>
            <w:tcW w:w="200" w:type="dxa"/>
            <w:vAlign w:val="bottom"/>
            <w:tcBorders>
              <w:bottom w:val="single" w:sz="8" w:color="C0C0C0"/>
            </w:tcBorders>
            <w:gridSpan w:val="2"/>
            <w:shd w:val="clear" w:color="auto" w:fill="C0C0C0"/>
          </w:tcPr>
          <w:p>
            <w:pPr>
              <w:ind w:left="10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0C0C0"/>
            </w:tcBorders>
            <w:gridSpan w:val="2"/>
            <w:shd w:val="clear" w:color="auto" w:fill="C0C0C0"/>
          </w:tcPr>
          <w:p>
            <w:pPr>
              <w:jc w:val="right"/>
              <w:spacing w:after="0"/>
              <w:rPr>
                <w:sz w:val="20"/>
                <w:szCs w:val="20"/>
                <w:color w:val="auto"/>
              </w:rPr>
            </w:pPr>
            <w:r>
              <w:rPr>
                <w:rFonts w:ascii="Arial" w:cs="Arial" w:eastAsia="Arial" w:hAnsi="Arial"/>
                <w:sz w:val="14"/>
                <w:szCs w:val="14"/>
                <w:color w:val="auto"/>
              </w:rPr>
              <w:t>436,825</w:t>
            </w:r>
          </w:p>
        </w:tc>
        <w:tc>
          <w:tcPr>
            <w:tcW w:w="100" w:type="dxa"/>
            <w:vAlign w:val="bottom"/>
            <w:tcBorders>
              <w:left w:val="single" w:sz="8" w:color="C0C0C0"/>
              <w:bottom w:val="single" w:sz="8" w:color="C0C0C0"/>
            </w:tcBorders>
            <w:shd w:val="clear" w:color="auto" w:fill="C0C0C0"/>
          </w:tcPr>
          <w:p>
            <w:pPr>
              <w:spacing w:after="0"/>
              <w:rPr>
                <w:sz w:val="18"/>
                <w:szCs w:val="18"/>
                <w:color w:val="auto"/>
              </w:rPr>
            </w:pPr>
          </w:p>
        </w:tc>
        <w:tc>
          <w:tcPr>
            <w:tcW w:w="200" w:type="dxa"/>
            <w:vAlign w:val="bottom"/>
            <w:tcBorders>
              <w:bottom w:val="single" w:sz="8" w:color="C0C0C0"/>
            </w:tcBorders>
            <w:gridSpan w:val="2"/>
            <w:shd w:val="clear" w:color="auto" w:fill="C0C0C0"/>
          </w:tcPr>
          <w:p>
            <w:pPr>
              <w:ind w:left="120"/>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C0C0C0"/>
            </w:tcBorders>
            <w:gridSpan w:val="2"/>
            <w:shd w:val="clear" w:color="auto" w:fill="C0C0C0"/>
          </w:tcPr>
          <w:p>
            <w:pPr>
              <w:jc w:val="right"/>
              <w:ind w:right="40"/>
              <w:spacing w:after="0"/>
              <w:rPr>
                <w:sz w:val="20"/>
                <w:szCs w:val="20"/>
                <w:color w:val="auto"/>
              </w:rPr>
            </w:pPr>
            <w:r>
              <w:rPr>
                <w:rFonts w:ascii="Arial" w:cs="Arial" w:eastAsia="Arial" w:hAnsi="Arial"/>
                <w:sz w:val="14"/>
                <w:szCs w:val="14"/>
                <w:color w:val="auto"/>
              </w:rPr>
              <w:t>(2,624)</w:t>
            </w:r>
          </w:p>
        </w:tc>
        <w:tc>
          <w:tcPr>
            <w:tcW w:w="140" w:type="dxa"/>
            <w:vAlign w:val="bottom"/>
            <w:tcBorders>
              <w:bottom w:val="single" w:sz="8" w:color="C0C0C0"/>
            </w:tcBorders>
            <w:shd w:val="clear" w:color="auto" w:fill="C0C0C0"/>
          </w:tcPr>
          <w:p>
            <w:pPr>
              <w:spacing w:after="0"/>
              <w:rPr>
                <w:sz w:val="18"/>
                <w:szCs w:val="18"/>
                <w:color w:val="auto"/>
              </w:rPr>
            </w:pPr>
          </w:p>
        </w:tc>
        <w:tc>
          <w:tcPr>
            <w:tcW w:w="160" w:type="dxa"/>
            <w:vAlign w:val="bottom"/>
            <w:tcBorders>
              <w:bottom w:val="single" w:sz="8" w:color="C0C0C0"/>
            </w:tcBorders>
            <w:gridSpan w:val="2"/>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0C0C0"/>
            </w:tcBorders>
            <w:gridSpan w:val="2"/>
            <w:shd w:val="clear" w:color="auto" w:fill="C0C0C0"/>
          </w:tcPr>
          <w:p>
            <w:pPr>
              <w:jc w:val="right"/>
              <w:ind w:right="100"/>
              <w:spacing w:after="0"/>
              <w:rPr>
                <w:sz w:val="20"/>
                <w:szCs w:val="20"/>
                <w:color w:val="auto"/>
              </w:rPr>
            </w:pPr>
            <w:r>
              <w:rPr>
                <w:rFonts w:ascii="Arial" w:cs="Arial" w:eastAsia="Arial" w:hAnsi="Arial"/>
                <w:sz w:val="14"/>
                <w:szCs w:val="14"/>
                <w:color w:val="auto"/>
              </w:rPr>
              <w:t>7,062</w:t>
            </w:r>
          </w:p>
        </w:tc>
        <w:tc>
          <w:tcPr>
            <w:tcW w:w="260" w:type="dxa"/>
            <w:vAlign w:val="bottom"/>
            <w:tcBorders>
              <w:bottom w:val="single" w:sz="8" w:color="C0C0C0"/>
            </w:tcBorders>
            <w:gridSpan w:val="2"/>
            <w:shd w:val="clear" w:color="auto" w:fill="C0C0C0"/>
          </w:tcPr>
          <w:p>
            <w:pPr>
              <w:jc w:val="right"/>
              <w:ind w:right="12"/>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0C0C0"/>
            </w:tcBorders>
            <w:gridSpan w:val="2"/>
            <w:shd w:val="clear" w:color="auto" w:fill="C0C0C0"/>
          </w:tcPr>
          <w:p>
            <w:pPr>
              <w:jc w:val="right"/>
              <w:ind w:right="100"/>
              <w:spacing w:after="0"/>
              <w:rPr>
                <w:sz w:val="20"/>
                <w:szCs w:val="20"/>
                <w:color w:val="auto"/>
              </w:rPr>
            </w:pPr>
            <w:r>
              <w:rPr>
                <w:rFonts w:ascii="Arial" w:cs="Arial" w:eastAsia="Arial" w:hAnsi="Arial"/>
                <w:sz w:val="14"/>
                <w:szCs w:val="14"/>
                <w:color w:val="auto"/>
              </w:rPr>
              <w:t>441,801</w:t>
            </w:r>
          </w:p>
        </w:tc>
        <w:tc>
          <w:tcPr>
            <w:tcW w:w="200" w:type="dxa"/>
            <w:vAlign w:val="bottom"/>
            <w:tcBorders>
              <w:bottom w:val="single" w:sz="8" w:color="C0C0C0"/>
            </w:tcBorders>
            <w:gridSpan w:val="2"/>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54,142</w:t>
            </w:r>
          </w:p>
        </w:tc>
        <w:tc>
          <w:tcPr>
            <w:tcW w:w="340" w:type="dxa"/>
            <w:vAlign w:val="bottom"/>
            <w:tcBorders>
              <w:bottom w:val="single" w:sz="8" w:color="C0C0C0"/>
            </w:tcBorders>
            <w:gridSpan w:val="2"/>
            <w:shd w:val="clear" w:color="auto" w:fill="C0C0C0"/>
          </w:tcPr>
          <w:p>
            <w:pPr>
              <w:jc w:val="right"/>
              <w:ind w:right="60"/>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495,943</w:t>
            </w:r>
          </w:p>
        </w:tc>
      </w:tr>
      <w:tr>
        <w:trPr>
          <w:trHeight w:val="202"/>
        </w:trPr>
        <w:tc>
          <w:tcPr>
            <w:tcW w:w="4360" w:type="dxa"/>
            <w:vAlign w:val="bottom"/>
          </w:tcPr>
          <w:p>
            <w:pPr>
              <w:spacing w:after="0"/>
              <w:rPr>
                <w:sz w:val="20"/>
                <w:szCs w:val="20"/>
                <w:color w:val="auto"/>
              </w:rPr>
            </w:pPr>
            <w:r>
              <w:rPr>
                <w:rFonts w:ascii="Arial" w:cs="Arial" w:eastAsia="Arial" w:hAnsi="Arial"/>
                <w:sz w:val="14"/>
                <w:szCs w:val="14"/>
                <w:color w:val="auto"/>
              </w:rPr>
              <w:t>Comprehensive income:</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41"/>
        </w:trPr>
        <w:tc>
          <w:tcPr>
            <w:tcW w:w="4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r>
      <w:tr>
        <w:trPr>
          <w:trHeight w:val="223"/>
        </w:trPr>
        <w:tc>
          <w:tcPr>
            <w:tcW w:w="4360" w:type="dxa"/>
            <w:vAlign w:val="bottom"/>
            <w:tcBorders>
              <w:bottom w:val="single" w:sz="8" w:color="C0C0C0"/>
            </w:tcBorders>
            <w:shd w:val="clear" w:color="auto" w:fill="C0C0C0"/>
          </w:tcPr>
          <w:p>
            <w:pPr>
              <w:ind w:left="240"/>
              <w:spacing w:after="0"/>
              <w:rPr>
                <w:sz w:val="20"/>
                <w:szCs w:val="20"/>
                <w:color w:val="auto"/>
              </w:rPr>
            </w:pPr>
            <w:r>
              <w:rPr>
                <w:rFonts w:ascii="Arial" w:cs="Arial" w:eastAsia="Arial" w:hAnsi="Arial"/>
                <w:sz w:val="14"/>
                <w:szCs w:val="14"/>
                <w:color w:val="auto"/>
              </w:rPr>
              <w:t>Net income</w:t>
            </w:r>
          </w:p>
        </w:tc>
        <w:tc>
          <w:tcPr>
            <w:tcW w:w="960" w:type="dxa"/>
            <w:vAlign w:val="bottom"/>
            <w:tcBorders>
              <w:bottom w:val="single" w:sz="8" w:color="C0C0C0"/>
            </w:tcBorders>
            <w:gridSpan w:val="4"/>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0C0C0"/>
            </w:tcBorders>
            <w:shd w:val="clear" w:color="auto" w:fill="C0C0C0"/>
          </w:tcPr>
          <w:p>
            <w:pPr>
              <w:spacing w:after="0"/>
              <w:rPr>
                <w:sz w:val="19"/>
                <w:szCs w:val="19"/>
                <w:color w:val="auto"/>
              </w:rPr>
            </w:pPr>
          </w:p>
        </w:tc>
        <w:tc>
          <w:tcPr>
            <w:tcW w:w="80" w:type="dxa"/>
            <w:vAlign w:val="bottom"/>
            <w:tcBorders>
              <w:bottom w:val="single" w:sz="8" w:color="C0C0C0"/>
            </w:tcBorders>
            <w:shd w:val="clear" w:color="auto" w:fill="C0C0C0"/>
          </w:tcPr>
          <w:p>
            <w:pPr>
              <w:spacing w:after="0"/>
              <w:rPr>
                <w:sz w:val="19"/>
                <w:szCs w:val="19"/>
                <w:color w:val="auto"/>
              </w:rPr>
            </w:pPr>
          </w:p>
        </w:tc>
        <w:tc>
          <w:tcPr>
            <w:tcW w:w="280" w:type="dxa"/>
            <w:vAlign w:val="bottom"/>
            <w:tcBorders>
              <w:bottom w:val="single" w:sz="8" w:color="C0C0C0"/>
            </w:tcBorders>
            <w:shd w:val="clear" w:color="auto" w:fill="C0C0C0"/>
          </w:tcPr>
          <w:p>
            <w:pPr>
              <w:spacing w:after="0"/>
              <w:rPr>
                <w:sz w:val="19"/>
                <w:szCs w:val="19"/>
                <w:color w:val="auto"/>
              </w:rPr>
            </w:pPr>
          </w:p>
        </w:tc>
        <w:tc>
          <w:tcPr>
            <w:tcW w:w="2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0C0C0"/>
            </w:tcBorders>
            <w:shd w:val="clear" w:color="auto" w:fill="C0C0C0"/>
          </w:tcPr>
          <w:p>
            <w:pPr>
              <w:spacing w:after="0"/>
              <w:rPr>
                <w:sz w:val="19"/>
                <w:szCs w:val="19"/>
                <w:color w:val="auto"/>
              </w:rPr>
            </w:pPr>
          </w:p>
        </w:tc>
        <w:tc>
          <w:tcPr>
            <w:tcW w:w="100" w:type="dxa"/>
            <w:vAlign w:val="bottom"/>
            <w:tcBorders>
              <w:bottom w:val="single" w:sz="8" w:color="C0C0C0"/>
            </w:tcBorders>
            <w:shd w:val="clear" w:color="auto" w:fill="C0C0C0"/>
          </w:tcPr>
          <w:p>
            <w:pPr>
              <w:spacing w:after="0"/>
              <w:rPr>
                <w:sz w:val="19"/>
                <w:szCs w:val="19"/>
                <w:color w:val="auto"/>
              </w:rPr>
            </w:pPr>
          </w:p>
        </w:tc>
        <w:tc>
          <w:tcPr>
            <w:tcW w:w="100" w:type="dxa"/>
            <w:vAlign w:val="bottom"/>
            <w:tcBorders>
              <w:bottom w:val="single" w:sz="8" w:color="C0C0C0"/>
            </w:tcBorders>
            <w:shd w:val="clear" w:color="auto" w:fill="C0C0C0"/>
          </w:tcPr>
          <w:p>
            <w:pPr>
              <w:spacing w:after="0"/>
              <w:rPr>
                <w:sz w:val="19"/>
                <w:szCs w:val="19"/>
                <w:color w:val="auto"/>
              </w:rPr>
            </w:pPr>
          </w:p>
        </w:tc>
        <w:tc>
          <w:tcPr>
            <w:tcW w:w="600" w:type="dxa"/>
            <w:vAlign w:val="bottom"/>
            <w:tcBorders>
              <w:bottom w:val="single" w:sz="8" w:color="C0C0C0"/>
            </w:tcBorders>
            <w:gridSpan w:val="2"/>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left w:val="single" w:sz="8" w:color="C0C0C0"/>
              <w:bottom w:val="single" w:sz="8" w:color="C0C0C0"/>
            </w:tcBorders>
            <w:shd w:val="clear" w:color="auto" w:fill="C0C0C0"/>
          </w:tcPr>
          <w:p>
            <w:pPr>
              <w:spacing w:after="0"/>
              <w:rPr>
                <w:sz w:val="19"/>
                <w:szCs w:val="19"/>
                <w:color w:val="auto"/>
              </w:rPr>
            </w:pPr>
          </w:p>
        </w:tc>
        <w:tc>
          <w:tcPr>
            <w:tcW w:w="120" w:type="dxa"/>
            <w:vAlign w:val="bottom"/>
            <w:tcBorders>
              <w:bottom w:val="single" w:sz="8" w:color="C0C0C0"/>
            </w:tcBorders>
            <w:shd w:val="clear" w:color="auto" w:fill="C0C0C0"/>
          </w:tcPr>
          <w:p>
            <w:pPr>
              <w:spacing w:after="0"/>
              <w:rPr>
                <w:sz w:val="19"/>
                <w:szCs w:val="19"/>
                <w:color w:val="auto"/>
              </w:rPr>
            </w:pPr>
          </w:p>
        </w:tc>
        <w:tc>
          <w:tcPr>
            <w:tcW w:w="80" w:type="dxa"/>
            <w:vAlign w:val="bottom"/>
            <w:tcBorders>
              <w:bottom w:val="single" w:sz="8" w:color="C0C0C0"/>
            </w:tcBorders>
            <w:shd w:val="clear" w:color="auto" w:fill="C0C0C0"/>
          </w:tcPr>
          <w:p>
            <w:pPr>
              <w:spacing w:after="0"/>
              <w:rPr>
                <w:sz w:val="19"/>
                <w:szCs w:val="19"/>
                <w:color w:val="auto"/>
              </w:rPr>
            </w:pPr>
          </w:p>
        </w:tc>
        <w:tc>
          <w:tcPr>
            <w:tcW w:w="50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12,111</w:t>
            </w:r>
          </w:p>
        </w:tc>
        <w:tc>
          <w:tcPr>
            <w:tcW w:w="80" w:type="dxa"/>
            <w:vAlign w:val="bottom"/>
            <w:tcBorders>
              <w:bottom w:val="single" w:sz="8" w:color="C0C0C0"/>
            </w:tcBorders>
            <w:shd w:val="clear" w:color="auto" w:fill="C0C0C0"/>
          </w:tcPr>
          <w:p>
            <w:pPr>
              <w:spacing w:after="0"/>
              <w:rPr>
                <w:sz w:val="19"/>
                <w:szCs w:val="19"/>
                <w:color w:val="auto"/>
              </w:rPr>
            </w:pPr>
          </w:p>
        </w:tc>
        <w:tc>
          <w:tcPr>
            <w:tcW w:w="140" w:type="dxa"/>
            <w:vAlign w:val="bottom"/>
            <w:tcBorders>
              <w:bottom w:val="single" w:sz="8" w:color="C0C0C0"/>
            </w:tcBorders>
            <w:shd w:val="clear" w:color="auto" w:fill="C0C0C0"/>
          </w:tcPr>
          <w:p>
            <w:pPr>
              <w:spacing w:after="0"/>
              <w:rPr>
                <w:sz w:val="19"/>
                <w:szCs w:val="19"/>
                <w:color w:val="auto"/>
              </w:rPr>
            </w:pPr>
          </w:p>
        </w:tc>
        <w:tc>
          <w:tcPr>
            <w:tcW w:w="80" w:type="dxa"/>
            <w:vAlign w:val="bottom"/>
            <w:tcBorders>
              <w:bottom w:val="single" w:sz="8" w:color="C0C0C0"/>
            </w:tcBorders>
            <w:shd w:val="clear" w:color="auto" w:fill="C0C0C0"/>
          </w:tcPr>
          <w:p>
            <w:pPr>
              <w:spacing w:after="0"/>
              <w:rPr>
                <w:sz w:val="19"/>
                <w:szCs w:val="19"/>
                <w:color w:val="auto"/>
              </w:rPr>
            </w:pPr>
          </w:p>
        </w:tc>
        <w:tc>
          <w:tcPr>
            <w:tcW w:w="80" w:type="dxa"/>
            <w:vAlign w:val="bottom"/>
            <w:tcBorders>
              <w:bottom w:val="single" w:sz="8" w:color="C0C0C0"/>
            </w:tcBorders>
            <w:shd w:val="clear" w:color="auto" w:fill="C0C0C0"/>
          </w:tcPr>
          <w:p>
            <w:pPr>
              <w:spacing w:after="0"/>
              <w:rPr>
                <w:sz w:val="19"/>
                <w:szCs w:val="19"/>
                <w:color w:val="auto"/>
              </w:rPr>
            </w:pPr>
          </w:p>
        </w:tc>
        <w:tc>
          <w:tcPr>
            <w:tcW w:w="660" w:type="dxa"/>
            <w:vAlign w:val="bottom"/>
            <w:tcBorders>
              <w:bottom w:val="single" w:sz="8" w:color="C0C0C0"/>
            </w:tcBorders>
            <w:gridSpan w:val="2"/>
            <w:shd w:val="clear" w:color="auto" w:fill="C0C0C0"/>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0C0C0"/>
            </w:tcBorders>
            <w:shd w:val="clear" w:color="auto" w:fill="C0C0C0"/>
          </w:tcPr>
          <w:p>
            <w:pPr>
              <w:spacing w:after="0"/>
              <w:rPr>
                <w:sz w:val="19"/>
                <w:szCs w:val="19"/>
                <w:color w:val="auto"/>
              </w:rPr>
            </w:pPr>
          </w:p>
        </w:tc>
        <w:tc>
          <w:tcPr>
            <w:tcW w:w="140" w:type="dxa"/>
            <w:vAlign w:val="bottom"/>
            <w:tcBorders>
              <w:bottom w:val="single" w:sz="8" w:color="C0C0C0"/>
            </w:tcBorders>
            <w:shd w:val="clear" w:color="auto" w:fill="C0C0C0"/>
          </w:tcPr>
          <w:p>
            <w:pPr>
              <w:spacing w:after="0"/>
              <w:rPr>
                <w:sz w:val="19"/>
                <w:szCs w:val="19"/>
                <w:color w:val="auto"/>
              </w:rPr>
            </w:pPr>
          </w:p>
        </w:tc>
        <w:tc>
          <w:tcPr>
            <w:tcW w:w="660" w:type="dxa"/>
            <w:vAlign w:val="bottom"/>
            <w:tcBorders>
              <w:bottom w:val="single" w:sz="8" w:color="C0C0C0"/>
            </w:tcBorders>
            <w:gridSpan w:val="2"/>
            <w:shd w:val="clear" w:color="auto" w:fill="C0C0C0"/>
          </w:tcPr>
          <w:p>
            <w:pPr>
              <w:jc w:val="right"/>
              <w:ind w:right="100"/>
              <w:spacing w:after="0"/>
              <w:rPr>
                <w:sz w:val="20"/>
                <w:szCs w:val="20"/>
                <w:color w:val="auto"/>
              </w:rPr>
            </w:pPr>
            <w:r>
              <w:rPr>
                <w:rFonts w:ascii="Arial" w:cs="Arial" w:eastAsia="Arial" w:hAnsi="Arial"/>
                <w:sz w:val="14"/>
                <w:szCs w:val="14"/>
                <w:color w:val="auto"/>
              </w:rPr>
              <w:t>12,111</w:t>
            </w:r>
          </w:p>
        </w:tc>
        <w:tc>
          <w:tcPr>
            <w:tcW w:w="120" w:type="dxa"/>
            <w:vAlign w:val="bottom"/>
            <w:tcBorders>
              <w:bottom w:val="single" w:sz="8" w:color="C0C0C0"/>
            </w:tcBorders>
            <w:shd w:val="clear" w:color="auto" w:fill="C0C0C0"/>
          </w:tcPr>
          <w:p>
            <w:pPr>
              <w:spacing w:after="0"/>
              <w:rPr>
                <w:sz w:val="19"/>
                <w:szCs w:val="19"/>
                <w:color w:val="auto"/>
              </w:rPr>
            </w:pPr>
          </w:p>
        </w:tc>
        <w:tc>
          <w:tcPr>
            <w:tcW w:w="80" w:type="dxa"/>
            <w:vAlign w:val="bottom"/>
            <w:tcBorders>
              <w:bottom w:val="single" w:sz="8" w:color="C0C0C0"/>
            </w:tcBorders>
            <w:shd w:val="clear" w:color="auto" w:fill="C0C0C0"/>
          </w:tcPr>
          <w:p>
            <w:pPr>
              <w:spacing w:after="0"/>
              <w:rPr>
                <w:sz w:val="19"/>
                <w:szCs w:val="19"/>
                <w:color w:val="auto"/>
              </w:rPr>
            </w:pPr>
          </w:p>
        </w:tc>
        <w:tc>
          <w:tcPr>
            <w:tcW w:w="60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1,473</w:t>
            </w:r>
          </w:p>
        </w:tc>
        <w:tc>
          <w:tcPr>
            <w:tcW w:w="220" w:type="dxa"/>
            <w:vAlign w:val="bottom"/>
            <w:tcBorders>
              <w:bottom w:val="single" w:sz="8" w:color="C0C0C0"/>
            </w:tcBorders>
            <w:shd w:val="clear" w:color="auto" w:fill="C0C0C0"/>
          </w:tcPr>
          <w:p>
            <w:pPr>
              <w:spacing w:after="0"/>
              <w:rPr>
                <w:sz w:val="19"/>
                <w:szCs w:val="19"/>
                <w:color w:val="auto"/>
              </w:rPr>
            </w:pPr>
          </w:p>
        </w:tc>
        <w:tc>
          <w:tcPr>
            <w:tcW w:w="120" w:type="dxa"/>
            <w:vAlign w:val="bottom"/>
            <w:tcBorders>
              <w:bottom w:val="single" w:sz="8" w:color="C0C0C0"/>
            </w:tcBorders>
            <w:shd w:val="clear" w:color="auto" w:fill="C0C0C0"/>
          </w:tcPr>
          <w:p>
            <w:pPr>
              <w:spacing w:after="0"/>
              <w:rPr>
                <w:sz w:val="19"/>
                <w:szCs w:val="19"/>
                <w:color w:val="auto"/>
              </w:rPr>
            </w:pPr>
          </w:p>
        </w:tc>
        <w:tc>
          <w:tcPr>
            <w:tcW w:w="58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13,584</w:t>
            </w:r>
          </w:p>
        </w:tc>
      </w:tr>
      <w:tr>
        <w:trPr>
          <w:trHeight w:val="202"/>
        </w:trPr>
        <w:tc>
          <w:tcPr>
            <w:tcW w:w="4360" w:type="dxa"/>
            <w:vAlign w:val="bottom"/>
          </w:tcPr>
          <w:p>
            <w:pPr>
              <w:ind w:left="240"/>
              <w:spacing w:after="0"/>
              <w:rPr>
                <w:sz w:val="20"/>
                <w:szCs w:val="20"/>
                <w:color w:val="auto"/>
              </w:rPr>
            </w:pPr>
            <w:r>
              <w:rPr>
                <w:rFonts w:ascii="Arial" w:cs="Arial" w:eastAsia="Arial" w:hAnsi="Arial"/>
                <w:sz w:val="14"/>
                <w:szCs w:val="14"/>
                <w:color w:val="auto"/>
              </w:rPr>
              <w:t>Amortization of cash flow hedges</w:t>
            </w:r>
          </w:p>
        </w:tc>
        <w:tc>
          <w:tcPr>
            <w:tcW w:w="960" w:type="dxa"/>
            <w:vAlign w:val="bottom"/>
            <w:gridSpan w:val="4"/>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32</w:t>
            </w:r>
          </w:p>
        </w:tc>
      </w:tr>
      <w:tr>
        <w:trPr>
          <w:trHeight w:val="41"/>
        </w:trPr>
        <w:tc>
          <w:tcPr>
            <w:tcW w:w="4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r>
      <w:tr>
        <w:trPr>
          <w:trHeight w:val="202"/>
        </w:trPr>
        <w:tc>
          <w:tcPr>
            <w:tcW w:w="4360" w:type="dxa"/>
            <w:vAlign w:val="bottom"/>
            <w:shd w:val="clear" w:color="auto" w:fill="C0C0C0"/>
          </w:tcPr>
          <w:p>
            <w:pPr>
              <w:ind w:left="240"/>
              <w:spacing w:after="0"/>
              <w:rPr>
                <w:sz w:val="20"/>
                <w:szCs w:val="20"/>
                <w:color w:val="auto"/>
              </w:rPr>
            </w:pPr>
            <w:r>
              <w:rPr>
                <w:rFonts w:ascii="Arial" w:cs="Arial" w:eastAsia="Arial" w:hAnsi="Arial"/>
                <w:sz w:val="14"/>
                <w:szCs w:val="14"/>
                <w:color w:val="auto"/>
              </w:rPr>
              <w:t>Foreign currency translation</w:t>
            </w:r>
          </w:p>
        </w:tc>
        <w:tc>
          <w:tcPr>
            <w:tcW w:w="220" w:type="dxa"/>
            <w:vAlign w:val="bottom"/>
            <w:shd w:val="clear" w:color="auto" w:fill="C0C0C0"/>
          </w:tcPr>
          <w:p>
            <w:pPr>
              <w:spacing w:after="0"/>
              <w:rPr>
                <w:sz w:val="17"/>
                <w:szCs w:val="17"/>
                <w:color w:val="auto"/>
              </w:rPr>
            </w:pPr>
          </w:p>
        </w:tc>
        <w:tc>
          <w:tcPr>
            <w:tcW w:w="34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80" w:type="dxa"/>
            <w:vAlign w:val="bottom"/>
            <w:shd w:val="clear" w:color="auto" w:fill="C0C0C0"/>
          </w:tcPr>
          <w:p>
            <w:pPr>
              <w:spacing w:after="0"/>
              <w:rPr>
                <w:sz w:val="17"/>
                <w:szCs w:val="17"/>
                <w:color w:val="auto"/>
              </w:rPr>
            </w:pPr>
          </w:p>
        </w:tc>
        <w:tc>
          <w:tcPr>
            <w:tcW w:w="28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40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100" w:type="dxa"/>
            <w:vAlign w:val="bottom"/>
            <w:tcBorders>
              <w:left w:val="single" w:sz="8" w:color="C0C0C0"/>
            </w:tcBorders>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80" w:type="dxa"/>
            <w:vAlign w:val="bottom"/>
            <w:shd w:val="clear" w:color="auto" w:fill="C0C0C0"/>
          </w:tcPr>
          <w:p>
            <w:pPr>
              <w:spacing w:after="0"/>
              <w:rPr>
                <w:sz w:val="17"/>
                <w:szCs w:val="17"/>
                <w:color w:val="auto"/>
              </w:rPr>
            </w:pPr>
          </w:p>
        </w:tc>
        <w:tc>
          <w:tcPr>
            <w:tcW w:w="500" w:type="dxa"/>
            <w:vAlign w:val="bottom"/>
            <w:shd w:val="clear" w:color="auto" w:fill="C0C0C0"/>
          </w:tcPr>
          <w:p>
            <w:pPr>
              <w:spacing w:after="0"/>
              <w:rPr>
                <w:sz w:val="17"/>
                <w:szCs w:val="17"/>
                <w:color w:val="auto"/>
              </w:rPr>
            </w:pPr>
          </w:p>
        </w:tc>
        <w:tc>
          <w:tcPr>
            <w:tcW w:w="8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80" w:type="dxa"/>
            <w:vAlign w:val="bottom"/>
            <w:shd w:val="clear" w:color="auto" w:fill="C0C0C0"/>
          </w:tcPr>
          <w:p>
            <w:pPr>
              <w:spacing w:after="0"/>
              <w:rPr>
                <w:sz w:val="17"/>
                <w:szCs w:val="17"/>
                <w:color w:val="auto"/>
              </w:rPr>
            </w:pPr>
          </w:p>
        </w:tc>
        <w:tc>
          <w:tcPr>
            <w:tcW w:w="80" w:type="dxa"/>
            <w:vAlign w:val="bottom"/>
            <w:shd w:val="clear" w:color="auto" w:fill="C0C0C0"/>
          </w:tcPr>
          <w:p>
            <w:pPr>
              <w:spacing w:after="0"/>
              <w:rPr>
                <w:sz w:val="17"/>
                <w:szCs w:val="17"/>
                <w:color w:val="auto"/>
              </w:rPr>
            </w:pPr>
          </w:p>
        </w:tc>
        <w:tc>
          <w:tcPr>
            <w:tcW w:w="56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56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80" w:type="dxa"/>
            <w:vAlign w:val="bottom"/>
            <w:shd w:val="clear" w:color="auto" w:fill="C0C0C0"/>
          </w:tcPr>
          <w:p>
            <w:pPr>
              <w:spacing w:after="0"/>
              <w:rPr>
                <w:sz w:val="17"/>
                <w:szCs w:val="17"/>
                <w:color w:val="auto"/>
              </w:rPr>
            </w:pPr>
          </w:p>
        </w:tc>
        <w:tc>
          <w:tcPr>
            <w:tcW w:w="60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580" w:type="dxa"/>
            <w:vAlign w:val="bottom"/>
            <w:shd w:val="clear" w:color="auto" w:fill="C0C0C0"/>
          </w:tcPr>
          <w:p>
            <w:pPr>
              <w:spacing w:after="0"/>
              <w:rPr>
                <w:sz w:val="17"/>
                <w:szCs w:val="17"/>
                <w:color w:val="auto"/>
              </w:rPr>
            </w:pPr>
          </w:p>
        </w:tc>
      </w:tr>
      <w:tr>
        <w:trPr>
          <w:trHeight w:val="284"/>
        </w:trPr>
        <w:tc>
          <w:tcPr>
            <w:tcW w:w="4360" w:type="dxa"/>
            <w:vAlign w:val="bottom"/>
            <w:tcBorders>
              <w:bottom w:val="single" w:sz="8" w:color="C0C0C0"/>
            </w:tcBorders>
            <w:shd w:val="clear" w:color="auto" w:fill="C0C0C0"/>
          </w:tcPr>
          <w:p>
            <w:pPr>
              <w:ind w:left="480"/>
              <w:spacing w:after="0"/>
              <w:rPr>
                <w:sz w:val="20"/>
                <w:szCs w:val="20"/>
                <w:color w:val="auto"/>
              </w:rPr>
            </w:pPr>
            <w:r>
              <w:rPr>
                <w:rFonts w:ascii="Arial" w:cs="Arial" w:eastAsia="Arial" w:hAnsi="Arial"/>
                <w:sz w:val="14"/>
                <w:szCs w:val="14"/>
                <w:color w:val="auto"/>
              </w:rPr>
              <w:t>adjustments</w:t>
            </w:r>
          </w:p>
        </w:tc>
        <w:tc>
          <w:tcPr>
            <w:tcW w:w="220" w:type="dxa"/>
            <w:vAlign w:val="bottom"/>
            <w:tcBorders>
              <w:bottom w:val="single" w:sz="8" w:color="C0C0C0"/>
            </w:tcBorders>
            <w:shd w:val="clear" w:color="auto" w:fill="C0C0C0"/>
          </w:tcPr>
          <w:p>
            <w:pPr>
              <w:spacing w:after="0"/>
              <w:rPr>
                <w:sz w:val="24"/>
                <w:szCs w:val="24"/>
                <w:color w:val="auto"/>
              </w:rPr>
            </w:pPr>
          </w:p>
        </w:tc>
        <w:tc>
          <w:tcPr>
            <w:tcW w:w="740" w:type="dxa"/>
            <w:vAlign w:val="bottom"/>
            <w:tcBorders>
              <w:bottom w:val="single" w:sz="8" w:color="C0C0C0"/>
            </w:tcBorders>
            <w:gridSpan w:val="3"/>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0C0C0"/>
            </w:tcBorders>
            <w:shd w:val="clear" w:color="auto" w:fill="C0C0C0"/>
          </w:tcPr>
          <w:p>
            <w:pPr>
              <w:spacing w:after="0"/>
              <w:rPr>
                <w:sz w:val="24"/>
                <w:szCs w:val="24"/>
                <w:color w:val="auto"/>
              </w:rPr>
            </w:pPr>
          </w:p>
        </w:tc>
        <w:tc>
          <w:tcPr>
            <w:tcW w:w="80" w:type="dxa"/>
            <w:vAlign w:val="bottom"/>
            <w:tcBorders>
              <w:bottom w:val="single" w:sz="8" w:color="C0C0C0"/>
            </w:tcBorders>
            <w:shd w:val="clear" w:color="auto" w:fill="C0C0C0"/>
          </w:tcPr>
          <w:p>
            <w:pPr>
              <w:spacing w:after="0"/>
              <w:rPr>
                <w:sz w:val="24"/>
                <w:szCs w:val="24"/>
                <w:color w:val="auto"/>
              </w:rPr>
            </w:pPr>
          </w:p>
        </w:tc>
        <w:tc>
          <w:tcPr>
            <w:tcW w:w="280" w:type="dxa"/>
            <w:vAlign w:val="bottom"/>
            <w:tcBorders>
              <w:bottom w:val="single" w:sz="8" w:color="C0C0C0"/>
            </w:tcBorders>
            <w:shd w:val="clear" w:color="auto" w:fill="C0C0C0"/>
          </w:tcPr>
          <w:p>
            <w:pPr>
              <w:spacing w:after="0"/>
              <w:rPr>
                <w:sz w:val="24"/>
                <w:szCs w:val="24"/>
                <w:color w:val="auto"/>
              </w:rPr>
            </w:pPr>
          </w:p>
        </w:tc>
        <w:tc>
          <w:tcPr>
            <w:tcW w:w="2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0C0C0"/>
            </w:tcBorders>
            <w:shd w:val="clear" w:color="auto" w:fill="C0C0C0"/>
          </w:tcPr>
          <w:p>
            <w:pPr>
              <w:spacing w:after="0"/>
              <w:rPr>
                <w:sz w:val="24"/>
                <w:szCs w:val="24"/>
                <w:color w:val="auto"/>
              </w:rPr>
            </w:pPr>
          </w:p>
        </w:tc>
        <w:tc>
          <w:tcPr>
            <w:tcW w:w="100" w:type="dxa"/>
            <w:vAlign w:val="bottom"/>
            <w:tcBorders>
              <w:bottom w:val="single" w:sz="8" w:color="C0C0C0"/>
            </w:tcBorders>
            <w:shd w:val="clear" w:color="auto" w:fill="C0C0C0"/>
          </w:tcPr>
          <w:p>
            <w:pPr>
              <w:spacing w:after="0"/>
              <w:rPr>
                <w:sz w:val="24"/>
                <w:szCs w:val="24"/>
                <w:color w:val="auto"/>
              </w:rPr>
            </w:pPr>
          </w:p>
        </w:tc>
        <w:tc>
          <w:tcPr>
            <w:tcW w:w="100" w:type="dxa"/>
            <w:vAlign w:val="bottom"/>
            <w:tcBorders>
              <w:bottom w:val="single" w:sz="8" w:color="C0C0C0"/>
            </w:tcBorders>
            <w:shd w:val="clear" w:color="auto" w:fill="C0C0C0"/>
          </w:tcPr>
          <w:p>
            <w:pPr>
              <w:spacing w:after="0"/>
              <w:rPr>
                <w:sz w:val="24"/>
                <w:szCs w:val="24"/>
                <w:color w:val="auto"/>
              </w:rPr>
            </w:pPr>
          </w:p>
        </w:tc>
        <w:tc>
          <w:tcPr>
            <w:tcW w:w="600" w:type="dxa"/>
            <w:vAlign w:val="bottom"/>
            <w:tcBorders>
              <w:bottom w:val="single" w:sz="8" w:color="C0C0C0"/>
            </w:tcBorders>
            <w:gridSpan w:val="2"/>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left w:val="single" w:sz="8" w:color="C0C0C0"/>
              <w:bottom w:val="single" w:sz="8" w:color="C0C0C0"/>
            </w:tcBorders>
            <w:shd w:val="clear" w:color="auto" w:fill="C0C0C0"/>
          </w:tcPr>
          <w:p>
            <w:pPr>
              <w:spacing w:after="0"/>
              <w:rPr>
                <w:sz w:val="24"/>
                <w:szCs w:val="24"/>
                <w:color w:val="auto"/>
              </w:rPr>
            </w:pPr>
          </w:p>
        </w:tc>
        <w:tc>
          <w:tcPr>
            <w:tcW w:w="120" w:type="dxa"/>
            <w:vAlign w:val="bottom"/>
            <w:tcBorders>
              <w:bottom w:val="single" w:sz="8" w:color="C0C0C0"/>
            </w:tcBorders>
            <w:shd w:val="clear" w:color="auto" w:fill="C0C0C0"/>
          </w:tcPr>
          <w:p>
            <w:pPr>
              <w:spacing w:after="0"/>
              <w:rPr>
                <w:sz w:val="24"/>
                <w:szCs w:val="24"/>
                <w:color w:val="auto"/>
              </w:rPr>
            </w:pPr>
          </w:p>
        </w:tc>
        <w:tc>
          <w:tcPr>
            <w:tcW w:w="80" w:type="dxa"/>
            <w:vAlign w:val="bottom"/>
            <w:tcBorders>
              <w:bottom w:val="single" w:sz="8" w:color="C0C0C0"/>
            </w:tcBorders>
            <w:shd w:val="clear" w:color="auto" w:fill="C0C0C0"/>
          </w:tcPr>
          <w:p>
            <w:pPr>
              <w:spacing w:after="0"/>
              <w:rPr>
                <w:sz w:val="24"/>
                <w:szCs w:val="24"/>
                <w:color w:val="auto"/>
              </w:rPr>
            </w:pPr>
          </w:p>
        </w:tc>
        <w:tc>
          <w:tcPr>
            <w:tcW w:w="50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0C0C0"/>
            </w:tcBorders>
            <w:shd w:val="clear" w:color="auto" w:fill="C0C0C0"/>
          </w:tcPr>
          <w:p>
            <w:pPr>
              <w:spacing w:after="0"/>
              <w:rPr>
                <w:sz w:val="24"/>
                <w:szCs w:val="24"/>
                <w:color w:val="auto"/>
              </w:rPr>
            </w:pPr>
          </w:p>
        </w:tc>
        <w:tc>
          <w:tcPr>
            <w:tcW w:w="140" w:type="dxa"/>
            <w:vAlign w:val="bottom"/>
            <w:tcBorders>
              <w:bottom w:val="single" w:sz="8" w:color="C0C0C0"/>
            </w:tcBorders>
            <w:shd w:val="clear" w:color="auto" w:fill="C0C0C0"/>
          </w:tcPr>
          <w:p>
            <w:pPr>
              <w:spacing w:after="0"/>
              <w:rPr>
                <w:sz w:val="24"/>
                <w:szCs w:val="24"/>
                <w:color w:val="auto"/>
              </w:rPr>
            </w:pPr>
          </w:p>
        </w:tc>
        <w:tc>
          <w:tcPr>
            <w:tcW w:w="80" w:type="dxa"/>
            <w:vAlign w:val="bottom"/>
            <w:tcBorders>
              <w:bottom w:val="single" w:sz="8" w:color="C0C0C0"/>
            </w:tcBorders>
            <w:shd w:val="clear" w:color="auto" w:fill="C0C0C0"/>
          </w:tcPr>
          <w:p>
            <w:pPr>
              <w:spacing w:after="0"/>
              <w:rPr>
                <w:sz w:val="24"/>
                <w:szCs w:val="24"/>
                <w:color w:val="auto"/>
              </w:rPr>
            </w:pPr>
          </w:p>
        </w:tc>
        <w:tc>
          <w:tcPr>
            <w:tcW w:w="80" w:type="dxa"/>
            <w:vAlign w:val="bottom"/>
            <w:tcBorders>
              <w:bottom w:val="single" w:sz="8" w:color="C0C0C0"/>
            </w:tcBorders>
            <w:shd w:val="clear" w:color="auto" w:fill="C0C0C0"/>
          </w:tcPr>
          <w:p>
            <w:pPr>
              <w:spacing w:after="0"/>
              <w:rPr>
                <w:sz w:val="24"/>
                <w:szCs w:val="24"/>
                <w:color w:val="auto"/>
              </w:rPr>
            </w:pPr>
          </w:p>
        </w:tc>
        <w:tc>
          <w:tcPr>
            <w:tcW w:w="660" w:type="dxa"/>
            <w:vAlign w:val="bottom"/>
            <w:tcBorders>
              <w:bottom w:val="single" w:sz="8" w:color="C0C0C0"/>
            </w:tcBorders>
            <w:gridSpan w:val="2"/>
            <w:shd w:val="clear" w:color="auto" w:fill="C0C0C0"/>
          </w:tcPr>
          <w:p>
            <w:pPr>
              <w:jc w:val="right"/>
              <w:ind w:right="100"/>
              <w:spacing w:after="0"/>
              <w:rPr>
                <w:sz w:val="20"/>
                <w:szCs w:val="20"/>
                <w:color w:val="auto"/>
              </w:rPr>
            </w:pPr>
            <w:r>
              <w:rPr>
                <w:rFonts w:ascii="Arial" w:cs="Arial" w:eastAsia="Arial" w:hAnsi="Arial"/>
                <w:sz w:val="14"/>
                <w:szCs w:val="14"/>
                <w:color w:val="auto"/>
              </w:rPr>
              <w:t>5,812</w:t>
            </w:r>
          </w:p>
        </w:tc>
        <w:tc>
          <w:tcPr>
            <w:tcW w:w="120" w:type="dxa"/>
            <w:vAlign w:val="bottom"/>
            <w:tcBorders>
              <w:bottom w:val="single" w:sz="8" w:color="C0C0C0"/>
            </w:tcBorders>
            <w:shd w:val="clear" w:color="auto" w:fill="C0C0C0"/>
          </w:tcPr>
          <w:p>
            <w:pPr>
              <w:spacing w:after="0"/>
              <w:rPr>
                <w:sz w:val="24"/>
                <w:szCs w:val="24"/>
                <w:color w:val="auto"/>
              </w:rPr>
            </w:pPr>
          </w:p>
        </w:tc>
        <w:tc>
          <w:tcPr>
            <w:tcW w:w="140" w:type="dxa"/>
            <w:vAlign w:val="bottom"/>
            <w:tcBorders>
              <w:bottom w:val="single" w:sz="8" w:color="C0C0C0"/>
            </w:tcBorders>
            <w:shd w:val="clear" w:color="auto" w:fill="C0C0C0"/>
          </w:tcPr>
          <w:p>
            <w:pPr>
              <w:spacing w:after="0"/>
              <w:rPr>
                <w:sz w:val="24"/>
                <w:szCs w:val="24"/>
                <w:color w:val="auto"/>
              </w:rPr>
            </w:pPr>
          </w:p>
        </w:tc>
        <w:tc>
          <w:tcPr>
            <w:tcW w:w="660" w:type="dxa"/>
            <w:vAlign w:val="bottom"/>
            <w:tcBorders>
              <w:bottom w:val="single" w:sz="8" w:color="C0C0C0"/>
            </w:tcBorders>
            <w:gridSpan w:val="2"/>
            <w:shd w:val="clear" w:color="auto" w:fill="C0C0C0"/>
          </w:tcPr>
          <w:p>
            <w:pPr>
              <w:jc w:val="right"/>
              <w:ind w:right="100"/>
              <w:spacing w:after="0"/>
              <w:rPr>
                <w:sz w:val="20"/>
                <w:szCs w:val="20"/>
                <w:color w:val="auto"/>
              </w:rPr>
            </w:pPr>
            <w:r>
              <w:rPr>
                <w:rFonts w:ascii="Arial" w:cs="Arial" w:eastAsia="Arial" w:hAnsi="Arial"/>
                <w:sz w:val="14"/>
                <w:szCs w:val="14"/>
                <w:color w:val="auto"/>
              </w:rPr>
              <w:t>5,812</w:t>
            </w:r>
          </w:p>
        </w:tc>
        <w:tc>
          <w:tcPr>
            <w:tcW w:w="120" w:type="dxa"/>
            <w:vAlign w:val="bottom"/>
            <w:tcBorders>
              <w:bottom w:val="single" w:sz="8" w:color="C0C0C0"/>
            </w:tcBorders>
            <w:shd w:val="clear" w:color="auto" w:fill="C0C0C0"/>
          </w:tcPr>
          <w:p>
            <w:pPr>
              <w:spacing w:after="0"/>
              <w:rPr>
                <w:sz w:val="24"/>
                <w:szCs w:val="24"/>
                <w:color w:val="auto"/>
              </w:rPr>
            </w:pPr>
          </w:p>
        </w:tc>
        <w:tc>
          <w:tcPr>
            <w:tcW w:w="80" w:type="dxa"/>
            <w:vAlign w:val="bottom"/>
            <w:tcBorders>
              <w:bottom w:val="single" w:sz="8" w:color="C0C0C0"/>
            </w:tcBorders>
            <w:shd w:val="clear" w:color="auto" w:fill="C0C0C0"/>
          </w:tcPr>
          <w:p>
            <w:pPr>
              <w:spacing w:after="0"/>
              <w:rPr>
                <w:sz w:val="24"/>
                <w:szCs w:val="24"/>
                <w:color w:val="auto"/>
              </w:rPr>
            </w:pPr>
          </w:p>
        </w:tc>
        <w:tc>
          <w:tcPr>
            <w:tcW w:w="60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2,555</w:t>
            </w:r>
          </w:p>
        </w:tc>
        <w:tc>
          <w:tcPr>
            <w:tcW w:w="220" w:type="dxa"/>
            <w:vAlign w:val="bottom"/>
            <w:tcBorders>
              <w:bottom w:val="single" w:sz="8" w:color="C0C0C0"/>
            </w:tcBorders>
            <w:shd w:val="clear" w:color="auto" w:fill="C0C0C0"/>
          </w:tcPr>
          <w:p>
            <w:pPr>
              <w:spacing w:after="0"/>
              <w:rPr>
                <w:sz w:val="24"/>
                <w:szCs w:val="24"/>
                <w:color w:val="auto"/>
              </w:rPr>
            </w:pPr>
          </w:p>
        </w:tc>
        <w:tc>
          <w:tcPr>
            <w:tcW w:w="120" w:type="dxa"/>
            <w:vAlign w:val="bottom"/>
            <w:tcBorders>
              <w:bottom w:val="single" w:sz="8" w:color="C0C0C0"/>
            </w:tcBorders>
            <w:shd w:val="clear" w:color="auto" w:fill="C0C0C0"/>
          </w:tcPr>
          <w:p>
            <w:pPr>
              <w:spacing w:after="0"/>
              <w:rPr>
                <w:sz w:val="24"/>
                <w:szCs w:val="24"/>
                <w:color w:val="auto"/>
              </w:rPr>
            </w:pPr>
          </w:p>
        </w:tc>
        <w:tc>
          <w:tcPr>
            <w:tcW w:w="58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8,367</w:t>
            </w:r>
          </w:p>
        </w:tc>
      </w:tr>
      <w:tr>
        <w:trPr>
          <w:trHeight w:val="196"/>
        </w:trPr>
        <w:tc>
          <w:tcPr>
            <w:tcW w:w="4360" w:type="dxa"/>
            <w:vAlign w:val="bottom"/>
          </w:tcPr>
          <w:p>
            <w:pPr>
              <w:ind w:left="240"/>
              <w:spacing w:after="0"/>
              <w:rPr>
                <w:sz w:val="20"/>
                <w:szCs w:val="20"/>
                <w:color w:val="auto"/>
              </w:rPr>
            </w:pPr>
            <w:r>
              <w:rPr>
                <w:rFonts w:ascii="Arial" w:cs="Arial" w:eastAsia="Arial" w:hAnsi="Arial"/>
                <w:sz w:val="14"/>
                <w:szCs w:val="14"/>
                <w:color w:val="auto"/>
              </w:rPr>
              <w:t>Total comprehensive income</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17,955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4,028</w:t>
            </w: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21,983</w:t>
            </w:r>
          </w:p>
        </w:tc>
      </w:tr>
      <w:tr>
        <w:trPr>
          <w:trHeight w:val="41"/>
        </w:trPr>
        <w:tc>
          <w:tcPr>
            <w:tcW w:w="4360" w:type="dxa"/>
            <w:vAlign w:val="bottom"/>
            <w:tcBorders>
              <w:bottom w:val="single" w:sz="8" w:color="C0C0C0"/>
            </w:tcBorders>
          </w:tcPr>
          <w:p>
            <w:pPr>
              <w:spacing w:after="0"/>
              <w:rPr>
                <w:sz w:val="3"/>
                <w:szCs w:val="3"/>
                <w:color w:val="auto"/>
              </w:rPr>
            </w:pPr>
          </w:p>
        </w:tc>
        <w:tc>
          <w:tcPr>
            <w:tcW w:w="220" w:type="dxa"/>
            <w:vAlign w:val="bottom"/>
            <w:tcBorders>
              <w:bottom w:val="single" w:sz="8" w:color="C0C0C0"/>
            </w:tcBorders>
          </w:tcPr>
          <w:p>
            <w:pPr>
              <w:spacing w:after="0"/>
              <w:rPr>
                <w:sz w:val="3"/>
                <w:szCs w:val="3"/>
                <w:color w:val="auto"/>
              </w:rPr>
            </w:pPr>
          </w:p>
        </w:tc>
        <w:tc>
          <w:tcPr>
            <w:tcW w:w="340" w:type="dxa"/>
            <w:vAlign w:val="bottom"/>
            <w:tcBorders>
              <w:bottom w:val="single" w:sz="8" w:color="C0C0C0"/>
            </w:tcBorders>
          </w:tcPr>
          <w:p>
            <w:pPr>
              <w:spacing w:after="0"/>
              <w:rPr>
                <w:sz w:val="3"/>
                <w:szCs w:val="3"/>
                <w:color w:val="auto"/>
              </w:rPr>
            </w:pPr>
          </w:p>
        </w:tc>
        <w:tc>
          <w:tcPr>
            <w:tcW w:w="200" w:type="dxa"/>
            <w:vAlign w:val="bottom"/>
            <w:tcBorders>
              <w:bottom w:val="single" w:sz="8" w:color="C0C0C0"/>
            </w:tcBorders>
          </w:tcPr>
          <w:p>
            <w:pPr>
              <w:spacing w:after="0"/>
              <w:rPr>
                <w:sz w:val="3"/>
                <w:szCs w:val="3"/>
                <w:color w:val="auto"/>
              </w:rPr>
            </w:pPr>
          </w:p>
        </w:tc>
        <w:tc>
          <w:tcPr>
            <w:tcW w:w="200" w:type="dxa"/>
            <w:vAlign w:val="bottom"/>
            <w:tcBorders>
              <w:bottom w:val="single" w:sz="8" w:color="C0C0C0"/>
            </w:tcBorders>
          </w:tcPr>
          <w:p>
            <w:pPr>
              <w:spacing w:after="0"/>
              <w:rPr>
                <w:sz w:val="3"/>
                <w:szCs w:val="3"/>
                <w:color w:val="auto"/>
              </w:rPr>
            </w:pPr>
          </w:p>
        </w:tc>
        <w:tc>
          <w:tcPr>
            <w:tcW w:w="140" w:type="dxa"/>
            <w:vAlign w:val="bottom"/>
            <w:tcBorders>
              <w:bottom w:val="single" w:sz="8" w:color="C0C0C0"/>
            </w:tcBorders>
          </w:tcPr>
          <w:p>
            <w:pPr>
              <w:spacing w:after="0"/>
              <w:rPr>
                <w:sz w:val="3"/>
                <w:szCs w:val="3"/>
                <w:color w:val="auto"/>
              </w:rPr>
            </w:pPr>
          </w:p>
        </w:tc>
        <w:tc>
          <w:tcPr>
            <w:tcW w:w="80" w:type="dxa"/>
            <w:vAlign w:val="bottom"/>
            <w:tcBorders>
              <w:bottom w:val="single" w:sz="8" w:color="C0C0C0"/>
            </w:tcBorders>
          </w:tcPr>
          <w:p>
            <w:pPr>
              <w:spacing w:after="0"/>
              <w:rPr>
                <w:sz w:val="3"/>
                <w:szCs w:val="3"/>
                <w:color w:val="auto"/>
              </w:rPr>
            </w:pPr>
          </w:p>
        </w:tc>
        <w:tc>
          <w:tcPr>
            <w:tcW w:w="280" w:type="dxa"/>
            <w:vAlign w:val="bottom"/>
            <w:tcBorders>
              <w:bottom w:val="single" w:sz="8" w:color="C0C0C0"/>
            </w:tcBorders>
          </w:tcPr>
          <w:p>
            <w:pPr>
              <w:spacing w:after="0"/>
              <w:rPr>
                <w:sz w:val="3"/>
                <w:szCs w:val="3"/>
                <w:color w:val="auto"/>
              </w:rPr>
            </w:pPr>
          </w:p>
        </w:tc>
        <w:tc>
          <w:tcPr>
            <w:tcW w:w="220" w:type="dxa"/>
            <w:vAlign w:val="bottom"/>
            <w:tcBorders>
              <w:bottom w:val="single" w:sz="8" w:color="C0C0C0"/>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400" w:type="dxa"/>
            <w:vAlign w:val="bottom"/>
            <w:tcBorders>
              <w:bottom w:val="single" w:sz="8" w:color="C0C0C0"/>
            </w:tcBorders>
          </w:tcPr>
          <w:p>
            <w:pPr>
              <w:spacing w:after="0"/>
              <w:rPr>
                <w:sz w:val="3"/>
                <w:szCs w:val="3"/>
                <w:color w:val="auto"/>
              </w:rPr>
            </w:pPr>
          </w:p>
        </w:tc>
        <w:tc>
          <w:tcPr>
            <w:tcW w:w="200" w:type="dxa"/>
            <w:vAlign w:val="bottom"/>
            <w:tcBorders>
              <w:bottom w:val="single" w:sz="8" w:color="C0C0C0"/>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120" w:type="dxa"/>
            <w:vAlign w:val="bottom"/>
            <w:tcBorders>
              <w:bottom w:val="single" w:sz="8" w:color="C0C0C0"/>
            </w:tcBorders>
          </w:tcPr>
          <w:p>
            <w:pPr>
              <w:spacing w:after="0"/>
              <w:rPr>
                <w:sz w:val="3"/>
                <w:szCs w:val="3"/>
                <w:color w:val="auto"/>
              </w:rPr>
            </w:pPr>
          </w:p>
        </w:tc>
        <w:tc>
          <w:tcPr>
            <w:tcW w:w="80" w:type="dxa"/>
            <w:vAlign w:val="bottom"/>
            <w:tcBorders>
              <w:bottom w:val="single" w:sz="8" w:color="C0C0C0"/>
            </w:tcBorders>
          </w:tcPr>
          <w:p>
            <w:pPr>
              <w:spacing w:after="0"/>
              <w:rPr>
                <w:sz w:val="3"/>
                <w:szCs w:val="3"/>
                <w:color w:val="auto"/>
              </w:rPr>
            </w:pPr>
          </w:p>
        </w:tc>
        <w:tc>
          <w:tcPr>
            <w:tcW w:w="500" w:type="dxa"/>
            <w:vAlign w:val="bottom"/>
            <w:tcBorders>
              <w:bottom w:val="single" w:sz="8" w:color="C0C0C0"/>
            </w:tcBorders>
          </w:tcPr>
          <w:p>
            <w:pPr>
              <w:spacing w:after="0"/>
              <w:rPr>
                <w:sz w:val="3"/>
                <w:szCs w:val="3"/>
                <w:color w:val="auto"/>
              </w:rPr>
            </w:pPr>
          </w:p>
        </w:tc>
        <w:tc>
          <w:tcPr>
            <w:tcW w:w="80" w:type="dxa"/>
            <w:vAlign w:val="bottom"/>
            <w:tcBorders>
              <w:bottom w:val="single" w:sz="8" w:color="C0C0C0"/>
            </w:tcBorders>
          </w:tcPr>
          <w:p>
            <w:pPr>
              <w:spacing w:after="0"/>
              <w:rPr>
                <w:sz w:val="3"/>
                <w:szCs w:val="3"/>
                <w:color w:val="auto"/>
              </w:rPr>
            </w:pPr>
          </w:p>
        </w:tc>
        <w:tc>
          <w:tcPr>
            <w:tcW w:w="140" w:type="dxa"/>
            <w:vAlign w:val="bottom"/>
            <w:tcBorders>
              <w:bottom w:val="single" w:sz="8" w:color="C0C0C0"/>
            </w:tcBorders>
          </w:tcPr>
          <w:p>
            <w:pPr>
              <w:spacing w:after="0"/>
              <w:rPr>
                <w:sz w:val="3"/>
                <w:szCs w:val="3"/>
                <w:color w:val="auto"/>
              </w:rPr>
            </w:pPr>
          </w:p>
        </w:tc>
        <w:tc>
          <w:tcPr>
            <w:tcW w:w="80" w:type="dxa"/>
            <w:vAlign w:val="bottom"/>
            <w:tcBorders>
              <w:bottom w:val="single" w:sz="8" w:color="C0C0C0"/>
            </w:tcBorders>
          </w:tcPr>
          <w:p>
            <w:pPr>
              <w:spacing w:after="0"/>
              <w:rPr>
                <w:sz w:val="3"/>
                <w:szCs w:val="3"/>
                <w:color w:val="auto"/>
              </w:rPr>
            </w:pPr>
          </w:p>
        </w:tc>
        <w:tc>
          <w:tcPr>
            <w:tcW w:w="80" w:type="dxa"/>
            <w:vAlign w:val="bottom"/>
            <w:tcBorders>
              <w:bottom w:val="single" w:sz="8" w:color="C0C0C0"/>
            </w:tcBorders>
          </w:tcPr>
          <w:p>
            <w:pPr>
              <w:spacing w:after="0"/>
              <w:rPr>
                <w:sz w:val="3"/>
                <w:szCs w:val="3"/>
                <w:color w:val="auto"/>
              </w:rPr>
            </w:pPr>
          </w:p>
        </w:tc>
        <w:tc>
          <w:tcPr>
            <w:tcW w:w="560" w:type="dxa"/>
            <w:vAlign w:val="bottom"/>
            <w:tcBorders>
              <w:bottom w:val="single" w:sz="8" w:color="C0C0C0"/>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120" w:type="dxa"/>
            <w:vAlign w:val="bottom"/>
            <w:tcBorders>
              <w:bottom w:val="single" w:sz="8" w:color="C0C0C0"/>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120" w:type="dxa"/>
            <w:vAlign w:val="bottom"/>
            <w:tcBorders>
              <w:bottom w:val="single" w:sz="8" w:color="C0C0C0"/>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20" w:type="dxa"/>
            <w:vAlign w:val="bottom"/>
            <w:tcBorders>
              <w:bottom w:val="single" w:sz="8" w:color="C0C0C0"/>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r>
      <w:tr>
        <w:trPr>
          <w:trHeight w:val="196"/>
        </w:trPr>
        <w:tc>
          <w:tcPr>
            <w:tcW w:w="4360" w:type="dxa"/>
            <w:vAlign w:val="bottom"/>
            <w:shd w:val="clear" w:color="auto" w:fill="C0C0C0"/>
          </w:tcPr>
          <w:p>
            <w:pPr>
              <w:spacing w:after="0"/>
              <w:rPr>
                <w:sz w:val="20"/>
                <w:szCs w:val="20"/>
                <w:color w:val="auto"/>
              </w:rPr>
            </w:pPr>
            <w:r>
              <w:rPr>
                <w:rFonts w:ascii="Arial" w:cs="Arial" w:eastAsia="Arial" w:hAnsi="Arial"/>
                <w:sz w:val="14"/>
                <w:szCs w:val="14"/>
                <w:color w:val="auto"/>
              </w:rPr>
              <w:t>Sale of common stock through</w:t>
            </w:r>
          </w:p>
        </w:tc>
        <w:tc>
          <w:tcPr>
            <w:tcW w:w="220" w:type="dxa"/>
            <w:vAlign w:val="bottom"/>
            <w:shd w:val="clear" w:color="auto" w:fill="C0C0C0"/>
          </w:tcPr>
          <w:p>
            <w:pPr>
              <w:spacing w:after="0"/>
              <w:rPr>
                <w:sz w:val="17"/>
                <w:szCs w:val="17"/>
                <w:color w:val="auto"/>
              </w:rPr>
            </w:pPr>
          </w:p>
        </w:tc>
        <w:tc>
          <w:tcPr>
            <w:tcW w:w="34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80" w:type="dxa"/>
            <w:vAlign w:val="bottom"/>
            <w:shd w:val="clear" w:color="auto" w:fill="C0C0C0"/>
          </w:tcPr>
          <w:p>
            <w:pPr>
              <w:spacing w:after="0"/>
              <w:rPr>
                <w:sz w:val="17"/>
                <w:szCs w:val="17"/>
                <w:color w:val="auto"/>
              </w:rPr>
            </w:pPr>
          </w:p>
        </w:tc>
        <w:tc>
          <w:tcPr>
            <w:tcW w:w="28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40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100" w:type="dxa"/>
            <w:vAlign w:val="bottom"/>
            <w:tcBorders>
              <w:left w:val="single" w:sz="8" w:color="C0C0C0"/>
            </w:tcBorders>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80" w:type="dxa"/>
            <w:vAlign w:val="bottom"/>
            <w:shd w:val="clear" w:color="auto" w:fill="C0C0C0"/>
          </w:tcPr>
          <w:p>
            <w:pPr>
              <w:spacing w:after="0"/>
              <w:rPr>
                <w:sz w:val="17"/>
                <w:szCs w:val="17"/>
                <w:color w:val="auto"/>
              </w:rPr>
            </w:pPr>
          </w:p>
        </w:tc>
        <w:tc>
          <w:tcPr>
            <w:tcW w:w="500" w:type="dxa"/>
            <w:vAlign w:val="bottom"/>
            <w:shd w:val="clear" w:color="auto" w:fill="C0C0C0"/>
          </w:tcPr>
          <w:p>
            <w:pPr>
              <w:spacing w:after="0"/>
              <w:rPr>
                <w:sz w:val="17"/>
                <w:szCs w:val="17"/>
                <w:color w:val="auto"/>
              </w:rPr>
            </w:pPr>
          </w:p>
        </w:tc>
        <w:tc>
          <w:tcPr>
            <w:tcW w:w="8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80" w:type="dxa"/>
            <w:vAlign w:val="bottom"/>
            <w:shd w:val="clear" w:color="auto" w:fill="C0C0C0"/>
          </w:tcPr>
          <w:p>
            <w:pPr>
              <w:spacing w:after="0"/>
              <w:rPr>
                <w:sz w:val="17"/>
                <w:szCs w:val="17"/>
                <w:color w:val="auto"/>
              </w:rPr>
            </w:pPr>
          </w:p>
        </w:tc>
        <w:tc>
          <w:tcPr>
            <w:tcW w:w="80" w:type="dxa"/>
            <w:vAlign w:val="bottom"/>
            <w:shd w:val="clear" w:color="auto" w:fill="C0C0C0"/>
          </w:tcPr>
          <w:p>
            <w:pPr>
              <w:spacing w:after="0"/>
              <w:rPr>
                <w:sz w:val="17"/>
                <w:szCs w:val="17"/>
                <w:color w:val="auto"/>
              </w:rPr>
            </w:pPr>
          </w:p>
        </w:tc>
        <w:tc>
          <w:tcPr>
            <w:tcW w:w="56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56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80" w:type="dxa"/>
            <w:vAlign w:val="bottom"/>
            <w:shd w:val="clear" w:color="auto" w:fill="C0C0C0"/>
          </w:tcPr>
          <w:p>
            <w:pPr>
              <w:spacing w:after="0"/>
              <w:rPr>
                <w:sz w:val="17"/>
                <w:szCs w:val="17"/>
                <w:color w:val="auto"/>
              </w:rPr>
            </w:pPr>
          </w:p>
        </w:tc>
        <w:tc>
          <w:tcPr>
            <w:tcW w:w="60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580" w:type="dxa"/>
            <w:vAlign w:val="bottom"/>
            <w:shd w:val="clear" w:color="auto" w:fill="C0C0C0"/>
          </w:tcPr>
          <w:p>
            <w:pPr>
              <w:spacing w:after="0"/>
              <w:rPr>
                <w:sz w:val="17"/>
                <w:szCs w:val="17"/>
                <w:color w:val="auto"/>
              </w:rPr>
            </w:pPr>
          </w:p>
        </w:tc>
      </w:tr>
      <w:tr>
        <w:trPr>
          <w:trHeight w:val="243"/>
        </w:trPr>
        <w:tc>
          <w:tcPr>
            <w:tcW w:w="4360" w:type="dxa"/>
            <w:vAlign w:val="bottom"/>
            <w:shd w:val="clear" w:color="auto" w:fill="C0C0C0"/>
          </w:tcPr>
          <w:p>
            <w:pPr>
              <w:ind w:left="240"/>
              <w:spacing w:after="0"/>
              <w:rPr>
                <w:sz w:val="20"/>
                <w:szCs w:val="20"/>
                <w:color w:val="auto"/>
              </w:rPr>
            </w:pPr>
            <w:r>
              <w:rPr>
                <w:rFonts w:ascii="Arial" w:cs="Arial" w:eastAsia="Arial" w:hAnsi="Arial"/>
                <w:sz w:val="14"/>
                <w:szCs w:val="14"/>
                <w:color w:val="auto"/>
              </w:rPr>
              <w:t>employee stock option and</w:t>
            </w:r>
          </w:p>
        </w:tc>
        <w:tc>
          <w:tcPr>
            <w:tcW w:w="22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40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100" w:type="dxa"/>
            <w:vAlign w:val="bottom"/>
            <w:tcBorders>
              <w:left w:val="single" w:sz="8" w:color="C0C0C0"/>
            </w:tcBorders>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50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5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5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60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r>
      <w:tr>
        <w:trPr>
          <w:trHeight w:val="264"/>
        </w:trPr>
        <w:tc>
          <w:tcPr>
            <w:tcW w:w="4360" w:type="dxa"/>
            <w:vAlign w:val="bottom"/>
            <w:tcBorders>
              <w:bottom w:val="single" w:sz="8" w:color="C0C0C0"/>
            </w:tcBorders>
            <w:shd w:val="clear" w:color="auto" w:fill="C0C0C0"/>
          </w:tcPr>
          <w:p>
            <w:pPr>
              <w:ind w:left="480"/>
              <w:spacing w:after="0"/>
              <w:rPr>
                <w:sz w:val="20"/>
                <w:szCs w:val="20"/>
                <w:color w:val="auto"/>
              </w:rPr>
            </w:pPr>
            <w:r>
              <w:rPr>
                <w:rFonts w:ascii="Arial" w:cs="Arial" w:eastAsia="Arial" w:hAnsi="Arial"/>
                <w:sz w:val="14"/>
                <w:szCs w:val="14"/>
                <w:color w:val="auto"/>
              </w:rPr>
              <w:t>purchase plans</w:t>
            </w:r>
          </w:p>
        </w:tc>
        <w:tc>
          <w:tcPr>
            <w:tcW w:w="220" w:type="dxa"/>
            <w:vAlign w:val="bottom"/>
            <w:tcBorders>
              <w:bottom w:val="single" w:sz="8" w:color="C0C0C0"/>
            </w:tcBorders>
            <w:shd w:val="clear" w:color="auto" w:fill="C0C0C0"/>
          </w:tcPr>
          <w:p>
            <w:pPr>
              <w:spacing w:after="0"/>
              <w:rPr>
                <w:sz w:val="22"/>
                <w:szCs w:val="22"/>
                <w:color w:val="auto"/>
              </w:rPr>
            </w:pPr>
          </w:p>
        </w:tc>
        <w:tc>
          <w:tcPr>
            <w:tcW w:w="340" w:type="dxa"/>
            <w:vAlign w:val="bottom"/>
            <w:tcBorders>
              <w:bottom w:val="single" w:sz="8" w:color="C0C0C0"/>
            </w:tcBorders>
            <w:shd w:val="clear" w:color="auto" w:fill="C0C0C0"/>
          </w:tcPr>
          <w:p>
            <w:pPr>
              <w:spacing w:after="0"/>
              <w:rPr>
                <w:sz w:val="22"/>
                <w:szCs w:val="22"/>
                <w:color w:val="auto"/>
              </w:rPr>
            </w:pPr>
          </w:p>
        </w:tc>
        <w:tc>
          <w:tcPr>
            <w:tcW w:w="400" w:type="dxa"/>
            <w:vAlign w:val="bottom"/>
            <w:tcBorders>
              <w:bottom w:val="single" w:sz="8" w:color="C0C0C0"/>
            </w:tcBorders>
            <w:gridSpan w:val="2"/>
            <w:shd w:val="clear" w:color="auto" w:fill="C0C0C0"/>
          </w:tcPr>
          <w:p>
            <w:pPr>
              <w:jc w:val="right"/>
              <w:spacing w:after="0"/>
              <w:rPr>
                <w:sz w:val="20"/>
                <w:szCs w:val="20"/>
                <w:color w:val="auto"/>
              </w:rPr>
            </w:pPr>
            <w:r>
              <w:rPr>
                <w:rFonts w:ascii="Arial" w:cs="Arial" w:eastAsia="Arial" w:hAnsi="Arial"/>
                <w:sz w:val="14"/>
                <w:szCs w:val="14"/>
                <w:color w:val="auto"/>
              </w:rPr>
              <w:t>65</w:t>
            </w:r>
          </w:p>
        </w:tc>
        <w:tc>
          <w:tcPr>
            <w:tcW w:w="140" w:type="dxa"/>
            <w:vAlign w:val="bottom"/>
            <w:tcBorders>
              <w:bottom w:val="single" w:sz="8" w:color="C0C0C0"/>
            </w:tcBorders>
            <w:shd w:val="clear" w:color="auto" w:fill="C0C0C0"/>
          </w:tcPr>
          <w:p>
            <w:pPr>
              <w:spacing w:after="0"/>
              <w:rPr>
                <w:sz w:val="22"/>
                <w:szCs w:val="22"/>
                <w:color w:val="auto"/>
              </w:rPr>
            </w:pPr>
          </w:p>
        </w:tc>
        <w:tc>
          <w:tcPr>
            <w:tcW w:w="80" w:type="dxa"/>
            <w:vAlign w:val="bottom"/>
            <w:tcBorders>
              <w:bottom w:val="single" w:sz="8" w:color="C0C0C0"/>
            </w:tcBorders>
            <w:shd w:val="clear" w:color="auto" w:fill="C0C0C0"/>
          </w:tcPr>
          <w:p>
            <w:pPr>
              <w:spacing w:after="0"/>
              <w:rPr>
                <w:sz w:val="22"/>
                <w:szCs w:val="22"/>
                <w:color w:val="auto"/>
              </w:rPr>
            </w:pPr>
          </w:p>
        </w:tc>
        <w:tc>
          <w:tcPr>
            <w:tcW w:w="280" w:type="dxa"/>
            <w:vAlign w:val="bottom"/>
            <w:tcBorders>
              <w:bottom w:val="single" w:sz="8" w:color="C0C0C0"/>
            </w:tcBorders>
            <w:shd w:val="clear" w:color="auto" w:fill="C0C0C0"/>
          </w:tcPr>
          <w:p>
            <w:pPr>
              <w:spacing w:after="0"/>
              <w:rPr>
                <w:sz w:val="22"/>
                <w:szCs w:val="22"/>
                <w:color w:val="auto"/>
              </w:rPr>
            </w:pPr>
          </w:p>
        </w:tc>
        <w:tc>
          <w:tcPr>
            <w:tcW w:w="2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0C0C0"/>
            </w:tcBorders>
            <w:shd w:val="clear" w:color="auto" w:fill="C0C0C0"/>
          </w:tcPr>
          <w:p>
            <w:pPr>
              <w:spacing w:after="0"/>
              <w:rPr>
                <w:sz w:val="22"/>
                <w:szCs w:val="22"/>
                <w:color w:val="auto"/>
              </w:rPr>
            </w:pPr>
          </w:p>
        </w:tc>
        <w:tc>
          <w:tcPr>
            <w:tcW w:w="100" w:type="dxa"/>
            <w:vAlign w:val="bottom"/>
            <w:tcBorders>
              <w:bottom w:val="single" w:sz="8" w:color="C0C0C0"/>
            </w:tcBorders>
            <w:shd w:val="clear" w:color="auto" w:fill="C0C0C0"/>
          </w:tcPr>
          <w:p>
            <w:pPr>
              <w:spacing w:after="0"/>
              <w:rPr>
                <w:sz w:val="22"/>
                <w:szCs w:val="22"/>
                <w:color w:val="auto"/>
              </w:rPr>
            </w:pPr>
          </w:p>
        </w:tc>
        <w:tc>
          <w:tcPr>
            <w:tcW w:w="100" w:type="dxa"/>
            <w:vAlign w:val="bottom"/>
            <w:tcBorders>
              <w:bottom w:val="single" w:sz="8" w:color="C0C0C0"/>
            </w:tcBorders>
            <w:shd w:val="clear" w:color="auto" w:fill="C0C0C0"/>
          </w:tcPr>
          <w:p>
            <w:pPr>
              <w:spacing w:after="0"/>
              <w:rPr>
                <w:sz w:val="22"/>
                <w:szCs w:val="22"/>
                <w:color w:val="auto"/>
              </w:rPr>
            </w:pPr>
          </w:p>
        </w:tc>
        <w:tc>
          <w:tcPr>
            <w:tcW w:w="600" w:type="dxa"/>
            <w:vAlign w:val="bottom"/>
            <w:tcBorders>
              <w:bottom w:val="single" w:sz="8" w:color="C0C0C0"/>
            </w:tcBorders>
            <w:gridSpan w:val="2"/>
            <w:shd w:val="clear" w:color="auto" w:fill="C0C0C0"/>
          </w:tcPr>
          <w:p>
            <w:pPr>
              <w:jc w:val="right"/>
              <w:spacing w:after="0"/>
              <w:rPr>
                <w:sz w:val="20"/>
                <w:szCs w:val="20"/>
                <w:color w:val="auto"/>
              </w:rPr>
            </w:pPr>
            <w:r>
              <w:rPr>
                <w:rFonts w:ascii="Arial" w:cs="Arial" w:eastAsia="Arial" w:hAnsi="Arial"/>
                <w:sz w:val="14"/>
                <w:szCs w:val="14"/>
                <w:color w:val="auto"/>
              </w:rPr>
              <w:t>58</w:t>
            </w:r>
          </w:p>
        </w:tc>
        <w:tc>
          <w:tcPr>
            <w:tcW w:w="100" w:type="dxa"/>
            <w:vAlign w:val="bottom"/>
            <w:tcBorders>
              <w:left w:val="single" w:sz="8" w:color="C0C0C0"/>
              <w:bottom w:val="single" w:sz="8" w:color="C0C0C0"/>
            </w:tcBorders>
            <w:shd w:val="clear" w:color="auto" w:fill="C0C0C0"/>
          </w:tcPr>
          <w:p>
            <w:pPr>
              <w:spacing w:after="0"/>
              <w:rPr>
                <w:sz w:val="22"/>
                <w:szCs w:val="22"/>
                <w:color w:val="auto"/>
              </w:rPr>
            </w:pPr>
          </w:p>
        </w:tc>
        <w:tc>
          <w:tcPr>
            <w:tcW w:w="120" w:type="dxa"/>
            <w:vAlign w:val="bottom"/>
            <w:tcBorders>
              <w:bottom w:val="single" w:sz="8" w:color="C0C0C0"/>
            </w:tcBorders>
            <w:shd w:val="clear" w:color="auto" w:fill="C0C0C0"/>
          </w:tcPr>
          <w:p>
            <w:pPr>
              <w:spacing w:after="0"/>
              <w:rPr>
                <w:sz w:val="22"/>
                <w:szCs w:val="22"/>
                <w:color w:val="auto"/>
              </w:rPr>
            </w:pPr>
          </w:p>
        </w:tc>
        <w:tc>
          <w:tcPr>
            <w:tcW w:w="80" w:type="dxa"/>
            <w:vAlign w:val="bottom"/>
            <w:tcBorders>
              <w:bottom w:val="single" w:sz="8" w:color="C0C0C0"/>
            </w:tcBorders>
            <w:shd w:val="clear" w:color="auto" w:fill="C0C0C0"/>
          </w:tcPr>
          <w:p>
            <w:pPr>
              <w:spacing w:after="0"/>
              <w:rPr>
                <w:sz w:val="22"/>
                <w:szCs w:val="22"/>
                <w:color w:val="auto"/>
              </w:rPr>
            </w:pPr>
          </w:p>
        </w:tc>
        <w:tc>
          <w:tcPr>
            <w:tcW w:w="50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0C0C0"/>
            </w:tcBorders>
            <w:shd w:val="clear" w:color="auto" w:fill="C0C0C0"/>
          </w:tcPr>
          <w:p>
            <w:pPr>
              <w:spacing w:after="0"/>
              <w:rPr>
                <w:sz w:val="22"/>
                <w:szCs w:val="22"/>
                <w:color w:val="auto"/>
              </w:rPr>
            </w:pPr>
          </w:p>
        </w:tc>
        <w:tc>
          <w:tcPr>
            <w:tcW w:w="140" w:type="dxa"/>
            <w:vAlign w:val="bottom"/>
            <w:tcBorders>
              <w:bottom w:val="single" w:sz="8" w:color="C0C0C0"/>
            </w:tcBorders>
            <w:shd w:val="clear" w:color="auto" w:fill="C0C0C0"/>
          </w:tcPr>
          <w:p>
            <w:pPr>
              <w:spacing w:after="0"/>
              <w:rPr>
                <w:sz w:val="22"/>
                <w:szCs w:val="22"/>
                <w:color w:val="auto"/>
              </w:rPr>
            </w:pPr>
          </w:p>
        </w:tc>
        <w:tc>
          <w:tcPr>
            <w:tcW w:w="80" w:type="dxa"/>
            <w:vAlign w:val="bottom"/>
            <w:tcBorders>
              <w:bottom w:val="single" w:sz="8" w:color="C0C0C0"/>
            </w:tcBorders>
            <w:shd w:val="clear" w:color="auto" w:fill="C0C0C0"/>
          </w:tcPr>
          <w:p>
            <w:pPr>
              <w:spacing w:after="0"/>
              <w:rPr>
                <w:sz w:val="22"/>
                <w:szCs w:val="22"/>
                <w:color w:val="auto"/>
              </w:rPr>
            </w:pPr>
          </w:p>
        </w:tc>
        <w:tc>
          <w:tcPr>
            <w:tcW w:w="80" w:type="dxa"/>
            <w:vAlign w:val="bottom"/>
            <w:tcBorders>
              <w:bottom w:val="single" w:sz="8" w:color="C0C0C0"/>
            </w:tcBorders>
            <w:shd w:val="clear" w:color="auto" w:fill="C0C0C0"/>
          </w:tcPr>
          <w:p>
            <w:pPr>
              <w:spacing w:after="0"/>
              <w:rPr>
                <w:sz w:val="22"/>
                <w:szCs w:val="22"/>
                <w:color w:val="auto"/>
              </w:rPr>
            </w:pPr>
          </w:p>
        </w:tc>
        <w:tc>
          <w:tcPr>
            <w:tcW w:w="660" w:type="dxa"/>
            <w:vAlign w:val="bottom"/>
            <w:tcBorders>
              <w:bottom w:val="single" w:sz="8" w:color="C0C0C0"/>
            </w:tcBorders>
            <w:gridSpan w:val="2"/>
            <w:shd w:val="clear" w:color="auto" w:fill="C0C0C0"/>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0C0C0"/>
            </w:tcBorders>
            <w:shd w:val="clear" w:color="auto" w:fill="C0C0C0"/>
          </w:tcPr>
          <w:p>
            <w:pPr>
              <w:spacing w:after="0"/>
              <w:rPr>
                <w:sz w:val="22"/>
                <w:szCs w:val="22"/>
                <w:color w:val="auto"/>
              </w:rPr>
            </w:pPr>
          </w:p>
        </w:tc>
        <w:tc>
          <w:tcPr>
            <w:tcW w:w="140" w:type="dxa"/>
            <w:vAlign w:val="bottom"/>
            <w:tcBorders>
              <w:bottom w:val="single" w:sz="8" w:color="C0C0C0"/>
            </w:tcBorders>
            <w:shd w:val="clear" w:color="auto" w:fill="C0C0C0"/>
          </w:tcPr>
          <w:p>
            <w:pPr>
              <w:spacing w:after="0"/>
              <w:rPr>
                <w:sz w:val="22"/>
                <w:szCs w:val="22"/>
                <w:color w:val="auto"/>
              </w:rPr>
            </w:pPr>
          </w:p>
        </w:tc>
        <w:tc>
          <w:tcPr>
            <w:tcW w:w="660" w:type="dxa"/>
            <w:vAlign w:val="bottom"/>
            <w:tcBorders>
              <w:bottom w:val="single" w:sz="8" w:color="C0C0C0"/>
            </w:tcBorders>
            <w:gridSpan w:val="2"/>
            <w:shd w:val="clear" w:color="auto" w:fill="C0C0C0"/>
          </w:tcPr>
          <w:p>
            <w:pPr>
              <w:jc w:val="right"/>
              <w:ind w:right="100"/>
              <w:spacing w:after="0"/>
              <w:rPr>
                <w:sz w:val="20"/>
                <w:szCs w:val="20"/>
                <w:color w:val="auto"/>
              </w:rPr>
            </w:pPr>
            <w:r>
              <w:rPr>
                <w:rFonts w:ascii="Arial" w:cs="Arial" w:eastAsia="Arial" w:hAnsi="Arial"/>
                <w:sz w:val="14"/>
                <w:szCs w:val="14"/>
                <w:color w:val="auto"/>
              </w:rPr>
              <w:t>59</w:t>
            </w:r>
          </w:p>
        </w:tc>
        <w:tc>
          <w:tcPr>
            <w:tcW w:w="120" w:type="dxa"/>
            <w:vAlign w:val="bottom"/>
            <w:tcBorders>
              <w:bottom w:val="single" w:sz="8" w:color="C0C0C0"/>
            </w:tcBorders>
            <w:shd w:val="clear" w:color="auto" w:fill="C0C0C0"/>
          </w:tcPr>
          <w:p>
            <w:pPr>
              <w:spacing w:after="0"/>
              <w:rPr>
                <w:sz w:val="22"/>
                <w:szCs w:val="22"/>
                <w:color w:val="auto"/>
              </w:rPr>
            </w:pPr>
          </w:p>
        </w:tc>
        <w:tc>
          <w:tcPr>
            <w:tcW w:w="80" w:type="dxa"/>
            <w:vAlign w:val="bottom"/>
            <w:tcBorders>
              <w:bottom w:val="single" w:sz="8" w:color="C0C0C0"/>
            </w:tcBorders>
            <w:shd w:val="clear" w:color="auto" w:fill="C0C0C0"/>
          </w:tcPr>
          <w:p>
            <w:pPr>
              <w:spacing w:after="0"/>
              <w:rPr>
                <w:sz w:val="22"/>
                <w:szCs w:val="22"/>
                <w:color w:val="auto"/>
              </w:rPr>
            </w:pPr>
          </w:p>
        </w:tc>
        <w:tc>
          <w:tcPr>
            <w:tcW w:w="60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0C0C0"/>
            </w:tcBorders>
            <w:shd w:val="clear" w:color="auto" w:fill="C0C0C0"/>
          </w:tcPr>
          <w:p>
            <w:pPr>
              <w:spacing w:after="0"/>
              <w:rPr>
                <w:sz w:val="22"/>
                <w:szCs w:val="22"/>
                <w:color w:val="auto"/>
              </w:rPr>
            </w:pPr>
          </w:p>
        </w:tc>
        <w:tc>
          <w:tcPr>
            <w:tcW w:w="120" w:type="dxa"/>
            <w:vAlign w:val="bottom"/>
            <w:tcBorders>
              <w:bottom w:val="single" w:sz="8" w:color="C0C0C0"/>
            </w:tcBorders>
            <w:shd w:val="clear" w:color="auto" w:fill="C0C0C0"/>
          </w:tcPr>
          <w:p>
            <w:pPr>
              <w:spacing w:after="0"/>
              <w:rPr>
                <w:sz w:val="22"/>
                <w:szCs w:val="22"/>
                <w:color w:val="auto"/>
              </w:rPr>
            </w:pPr>
          </w:p>
        </w:tc>
        <w:tc>
          <w:tcPr>
            <w:tcW w:w="58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59</w:t>
            </w:r>
          </w:p>
        </w:tc>
      </w:tr>
      <w:tr>
        <w:trPr>
          <w:trHeight w:val="202"/>
        </w:trPr>
        <w:tc>
          <w:tcPr>
            <w:tcW w:w="4360" w:type="dxa"/>
            <w:vAlign w:val="bottom"/>
          </w:tcPr>
          <w:p>
            <w:pPr>
              <w:spacing w:after="0"/>
              <w:rPr>
                <w:sz w:val="20"/>
                <w:szCs w:val="20"/>
                <w:color w:val="auto"/>
              </w:rPr>
            </w:pPr>
            <w:r>
              <w:rPr>
                <w:rFonts w:ascii="Arial" w:cs="Arial" w:eastAsia="Arial" w:hAnsi="Arial"/>
                <w:sz w:val="14"/>
                <w:szCs w:val="14"/>
                <w:color w:val="auto"/>
              </w:rPr>
              <w:t>Restricted stock awards vesting</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43"/>
        </w:trPr>
        <w:tc>
          <w:tcPr>
            <w:tcW w:w="4360" w:type="dxa"/>
            <w:vAlign w:val="bottom"/>
          </w:tcPr>
          <w:p>
            <w:pPr>
              <w:ind w:left="240"/>
              <w:spacing w:after="0"/>
              <w:rPr>
                <w:sz w:val="20"/>
                <w:szCs w:val="20"/>
                <w:color w:val="auto"/>
              </w:rPr>
            </w:pPr>
            <w:r>
              <w:rPr>
                <w:rFonts w:ascii="Arial" w:cs="Arial" w:eastAsia="Arial" w:hAnsi="Arial"/>
                <w:sz w:val="14"/>
                <w:szCs w:val="14"/>
                <w:color w:val="auto"/>
              </w:rPr>
              <w:t>and expense</w:t>
            </w:r>
          </w:p>
        </w:tc>
        <w:tc>
          <w:tcPr>
            <w:tcW w:w="960" w:type="dxa"/>
            <w:vAlign w:val="bottom"/>
            <w:gridSpan w:val="4"/>
          </w:tcPr>
          <w:p>
            <w:pPr>
              <w:jc w:val="right"/>
              <w:spacing w:after="0"/>
              <w:rPr>
                <w:sz w:val="20"/>
                <w:szCs w:val="20"/>
                <w:color w:val="auto"/>
              </w:rPr>
            </w:pPr>
            <w:r>
              <w:rPr>
                <w:rFonts w:ascii="Arial" w:cs="Arial" w:eastAsia="Arial" w:hAnsi="Arial"/>
                <w:sz w:val="14"/>
                <w:szCs w:val="14"/>
                <w:color w:val="auto"/>
              </w:rPr>
              <w:t>21</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188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188</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188</w:t>
            </w:r>
          </w:p>
        </w:tc>
      </w:tr>
      <w:tr>
        <w:trPr>
          <w:trHeight w:val="41"/>
        </w:trPr>
        <w:tc>
          <w:tcPr>
            <w:tcW w:w="4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gridSpan w:val="2"/>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r>
      <w:tr>
        <w:trPr>
          <w:trHeight w:val="223"/>
        </w:trPr>
        <w:tc>
          <w:tcPr>
            <w:tcW w:w="436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4"/>
                <w:szCs w:val="14"/>
                <w:color w:val="auto"/>
              </w:rPr>
              <w:t>Share-based compensation expense</w:t>
            </w:r>
          </w:p>
        </w:tc>
        <w:tc>
          <w:tcPr>
            <w:tcW w:w="560" w:type="dxa"/>
            <w:vAlign w:val="bottom"/>
            <w:tcBorders>
              <w:bottom w:val="single" w:sz="8" w:color="C0C0C0"/>
            </w:tcBorders>
            <w:gridSpan w:val="2"/>
            <w:shd w:val="clear" w:color="auto" w:fill="C0C0C0"/>
          </w:tcPr>
          <w:p>
            <w:pPr>
              <w:spacing w:after="0"/>
              <w:rPr>
                <w:sz w:val="19"/>
                <w:szCs w:val="19"/>
                <w:color w:val="auto"/>
              </w:rPr>
            </w:pPr>
          </w:p>
        </w:tc>
        <w:tc>
          <w:tcPr>
            <w:tcW w:w="400" w:type="dxa"/>
            <w:vAlign w:val="bottom"/>
            <w:tcBorders>
              <w:bottom w:val="single" w:sz="8" w:color="C0C0C0"/>
            </w:tcBorders>
            <w:gridSpan w:val="2"/>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0C0C0"/>
            </w:tcBorders>
            <w:shd w:val="clear" w:color="auto" w:fill="C0C0C0"/>
          </w:tcPr>
          <w:p>
            <w:pPr>
              <w:spacing w:after="0"/>
              <w:rPr>
                <w:sz w:val="19"/>
                <w:szCs w:val="19"/>
                <w:color w:val="auto"/>
              </w:rPr>
            </w:pPr>
          </w:p>
        </w:tc>
        <w:tc>
          <w:tcPr>
            <w:tcW w:w="80" w:type="dxa"/>
            <w:vAlign w:val="bottom"/>
            <w:tcBorders>
              <w:bottom w:val="single" w:sz="8" w:color="C0C0C0"/>
            </w:tcBorders>
            <w:shd w:val="clear" w:color="auto" w:fill="C0C0C0"/>
          </w:tcPr>
          <w:p>
            <w:pPr>
              <w:spacing w:after="0"/>
              <w:rPr>
                <w:sz w:val="19"/>
                <w:szCs w:val="19"/>
                <w:color w:val="auto"/>
              </w:rPr>
            </w:pPr>
          </w:p>
        </w:tc>
        <w:tc>
          <w:tcPr>
            <w:tcW w:w="280" w:type="dxa"/>
            <w:vAlign w:val="bottom"/>
            <w:tcBorders>
              <w:bottom w:val="single" w:sz="8" w:color="C0C0C0"/>
            </w:tcBorders>
            <w:shd w:val="clear" w:color="auto" w:fill="C0C0C0"/>
          </w:tcPr>
          <w:p>
            <w:pPr>
              <w:spacing w:after="0"/>
              <w:rPr>
                <w:sz w:val="19"/>
                <w:szCs w:val="19"/>
                <w:color w:val="auto"/>
              </w:rPr>
            </w:pPr>
          </w:p>
        </w:tc>
        <w:tc>
          <w:tcPr>
            <w:tcW w:w="22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0C0C0"/>
            </w:tcBorders>
            <w:shd w:val="clear" w:color="auto" w:fill="C0C0C0"/>
          </w:tcPr>
          <w:p>
            <w:pPr>
              <w:spacing w:after="0"/>
              <w:rPr>
                <w:sz w:val="19"/>
                <w:szCs w:val="19"/>
                <w:color w:val="auto"/>
              </w:rPr>
            </w:pPr>
          </w:p>
        </w:tc>
        <w:tc>
          <w:tcPr>
            <w:tcW w:w="100" w:type="dxa"/>
            <w:vAlign w:val="bottom"/>
            <w:tcBorders>
              <w:bottom w:val="single" w:sz="8" w:color="C0C0C0"/>
            </w:tcBorders>
            <w:shd w:val="clear" w:color="auto" w:fill="C0C0C0"/>
          </w:tcPr>
          <w:p>
            <w:pPr>
              <w:spacing w:after="0"/>
              <w:rPr>
                <w:sz w:val="19"/>
                <w:szCs w:val="19"/>
                <w:color w:val="auto"/>
              </w:rPr>
            </w:pPr>
          </w:p>
        </w:tc>
        <w:tc>
          <w:tcPr>
            <w:tcW w:w="100" w:type="dxa"/>
            <w:vAlign w:val="bottom"/>
            <w:tcBorders>
              <w:bottom w:val="single" w:sz="8" w:color="C0C0C0"/>
            </w:tcBorders>
            <w:shd w:val="clear" w:color="auto" w:fill="C0C0C0"/>
          </w:tcPr>
          <w:p>
            <w:pPr>
              <w:spacing w:after="0"/>
              <w:rPr>
                <w:sz w:val="19"/>
                <w:szCs w:val="19"/>
                <w:color w:val="auto"/>
              </w:rPr>
            </w:pPr>
          </w:p>
        </w:tc>
        <w:tc>
          <w:tcPr>
            <w:tcW w:w="600" w:type="dxa"/>
            <w:vAlign w:val="bottom"/>
            <w:tcBorders>
              <w:bottom w:val="single" w:sz="8" w:color="C0C0C0"/>
            </w:tcBorders>
            <w:gridSpan w:val="2"/>
            <w:shd w:val="clear" w:color="auto" w:fill="C0C0C0"/>
          </w:tcPr>
          <w:p>
            <w:pPr>
              <w:jc w:val="right"/>
              <w:spacing w:after="0"/>
              <w:rPr>
                <w:sz w:val="20"/>
                <w:szCs w:val="20"/>
                <w:color w:val="auto"/>
              </w:rPr>
            </w:pPr>
            <w:r>
              <w:rPr>
                <w:rFonts w:ascii="Arial" w:cs="Arial" w:eastAsia="Arial" w:hAnsi="Arial"/>
                <w:sz w:val="14"/>
                <w:szCs w:val="14"/>
                <w:color w:val="auto"/>
              </w:rPr>
              <w:t>289</w:t>
            </w:r>
          </w:p>
        </w:tc>
        <w:tc>
          <w:tcPr>
            <w:tcW w:w="100" w:type="dxa"/>
            <w:vAlign w:val="bottom"/>
            <w:tcBorders>
              <w:left w:val="single" w:sz="8" w:color="C0C0C0"/>
              <w:bottom w:val="single" w:sz="8" w:color="C0C0C0"/>
            </w:tcBorders>
            <w:shd w:val="clear" w:color="auto" w:fill="C0C0C0"/>
          </w:tcPr>
          <w:p>
            <w:pPr>
              <w:spacing w:after="0"/>
              <w:rPr>
                <w:sz w:val="19"/>
                <w:szCs w:val="19"/>
                <w:color w:val="auto"/>
              </w:rPr>
            </w:pPr>
          </w:p>
        </w:tc>
        <w:tc>
          <w:tcPr>
            <w:tcW w:w="120" w:type="dxa"/>
            <w:vAlign w:val="bottom"/>
            <w:tcBorders>
              <w:bottom w:val="single" w:sz="8" w:color="C0C0C0"/>
            </w:tcBorders>
            <w:shd w:val="clear" w:color="auto" w:fill="C0C0C0"/>
          </w:tcPr>
          <w:p>
            <w:pPr>
              <w:spacing w:after="0"/>
              <w:rPr>
                <w:sz w:val="19"/>
                <w:szCs w:val="19"/>
                <w:color w:val="auto"/>
              </w:rPr>
            </w:pPr>
          </w:p>
        </w:tc>
        <w:tc>
          <w:tcPr>
            <w:tcW w:w="80" w:type="dxa"/>
            <w:vAlign w:val="bottom"/>
            <w:tcBorders>
              <w:bottom w:val="single" w:sz="8" w:color="C0C0C0"/>
            </w:tcBorders>
            <w:shd w:val="clear" w:color="auto" w:fill="C0C0C0"/>
          </w:tcPr>
          <w:p>
            <w:pPr>
              <w:spacing w:after="0"/>
              <w:rPr>
                <w:sz w:val="19"/>
                <w:szCs w:val="19"/>
                <w:color w:val="auto"/>
              </w:rPr>
            </w:pPr>
          </w:p>
        </w:tc>
        <w:tc>
          <w:tcPr>
            <w:tcW w:w="50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0C0C0"/>
            </w:tcBorders>
            <w:shd w:val="clear" w:color="auto" w:fill="C0C0C0"/>
          </w:tcPr>
          <w:p>
            <w:pPr>
              <w:spacing w:after="0"/>
              <w:rPr>
                <w:sz w:val="19"/>
                <w:szCs w:val="19"/>
                <w:color w:val="auto"/>
              </w:rPr>
            </w:pPr>
          </w:p>
        </w:tc>
        <w:tc>
          <w:tcPr>
            <w:tcW w:w="140" w:type="dxa"/>
            <w:vAlign w:val="bottom"/>
            <w:tcBorders>
              <w:bottom w:val="single" w:sz="8" w:color="C0C0C0"/>
            </w:tcBorders>
            <w:shd w:val="clear" w:color="auto" w:fill="C0C0C0"/>
          </w:tcPr>
          <w:p>
            <w:pPr>
              <w:spacing w:after="0"/>
              <w:rPr>
                <w:sz w:val="19"/>
                <w:szCs w:val="19"/>
                <w:color w:val="auto"/>
              </w:rPr>
            </w:pPr>
          </w:p>
        </w:tc>
        <w:tc>
          <w:tcPr>
            <w:tcW w:w="80" w:type="dxa"/>
            <w:vAlign w:val="bottom"/>
            <w:tcBorders>
              <w:bottom w:val="single" w:sz="8" w:color="C0C0C0"/>
            </w:tcBorders>
            <w:shd w:val="clear" w:color="auto" w:fill="C0C0C0"/>
          </w:tcPr>
          <w:p>
            <w:pPr>
              <w:spacing w:after="0"/>
              <w:rPr>
                <w:sz w:val="19"/>
                <w:szCs w:val="19"/>
                <w:color w:val="auto"/>
              </w:rPr>
            </w:pPr>
          </w:p>
        </w:tc>
        <w:tc>
          <w:tcPr>
            <w:tcW w:w="80" w:type="dxa"/>
            <w:vAlign w:val="bottom"/>
            <w:tcBorders>
              <w:bottom w:val="single" w:sz="8" w:color="C0C0C0"/>
            </w:tcBorders>
            <w:shd w:val="clear" w:color="auto" w:fill="C0C0C0"/>
          </w:tcPr>
          <w:p>
            <w:pPr>
              <w:spacing w:after="0"/>
              <w:rPr>
                <w:sz w:val="19"/>
                <w:szCs w:val="19"/>
                <w:color w:val="auto"/>
              </w:rPr>
            </w:pPr>
          </w:p>
        </w:tc>
        <w:tc>
          <w:tcPr>
            <w:tcW w:w="660" w:type="dxa"/>
            <w:vAlign w:val="bottom"/>
            <w:tcBorders>
              <w:bottom w:val="single" w:sz="8" w:color="C0C0C0"/>
            </w:tcBorders>
            <w:gridSpan w:val="2"/>
            <w:shd w:val="clear" w:color="auto" w:fill="C0C0C0"/>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0C0C0"/>
            </w:tcBorders>
            <w:shd w:val="clear" w:color="auto" w:fill="C0C0C0"/>
          </w:tcPr>
          <w:p>
            <w:pPr>
              <w:spacing w:after="0"/>
              <w:rPr>
                <w:sz w:val="19"/>
                <w:szCs w:val="19"/>
                <w:color w:val="auto"/>
              </w:rPr>
            </w:pPr>
          </w:p>
        </w:tc>
        <w:tc>
          <w:tcPr>
            <w:tcW w:w="140" w:type="dxa"/>
            <w:vAlign w:val="bottom"/>
            <w:tcBorders>
              <w:bottom w:val="single" w:sz="8" w:color="C0C0C0"/>
            </w:tcBorders>
            <w:shd w:val="clear" w:color="auto" w:fill="C0C0C0"/>
          </w:tcPr>
          <w:p>
            <w:pPr>
              <w:spacing w:after="0"/>
              <w:rPr>
                <w:sz w:val="19"/>
                <w:szCs w:val="19"/>
                <w:color w:val="auto"/>
              </w:rPr>
            </w:pPr>
          </w:p>
        </w:tc>
        <w:tc>
          <w:tcPr>
            <w:tcW w:w="660" w:type="dxa"/>
            <w:vAlign w:val="bottom"/>
            <w:tcBorders>
              <w:bottom w:val="single" w:sz="8" w:color="C0C0C0"/>
            </w:tcBorders>
            <w:gridSpan w:val="2"/>
            <w:shd w:val="clear" w:color="auto" w:fill="C0C0C0"/>
          </w:tcPr>
          <w:p>
            <w:pPr>
              <w:jc w:val="right"/>
              <w:ind w:right="100"/>
              <w:spacing w:after="0"/>
              <w:rPr>
                <w:sz w:val="20"/>
                <w:szCs w:val="20"/>
                <w:color w:val="auto"/>
              </w:rPr>
            </w:pPr>
            <w:r>
              <w:rPr>
                <w:rFonts w:ascii="Arial" w:cs="Arial" w:eastAsia="Arial" w:hAnsi="Arial"/>
                <w:sz w:val="14"/>
                <w:szCs w:val="14"/>
                <w:color w:val="auto"/>
              </w:rPr>
              <w:t>289</w:t>
            </w:r>
          </w:p>
        </w:tc>
        <w:tc>
          <w:tcPr>
            <w:tcW w:w="120" w:type="dxa"/>
            <w:vAlign w:val="bottom"/>
            <w:tcBorders>
              <w:bottom w:val="single" w:sz="8" w:color="C0C0C0"/>
            </w:tcBorders>
            <w:shd w:val="clear" w:color="auto" w:fill="C0C0C0"/>
          </w:tcPr>
          <w:p>
            <w:pPr>
              <w:spacing w:after="0"/>
              <w:rPr>
                <w:sz w:val="19"/>
                <w:szCs w:val="19"/>
                <w:color w:val="auto"/>
              </w:rPr>
            </w:pPr>
          </w:p>
        </w:tc>
        <w:tc>
          <w:tcPr>
            <w:tcW w:w="80" w:type="dxa"/>
            <w:vAlign w:val="bottom"/>
            <w:tcBorders>
              <w:bottom w:val="single" w:sz="8" w:color="C0C0C0"/>
            </w:tcBorders>
            <w:shd w:val="clear" w:color="auto" w:fill="C0C0C0"/>
          </w:tcPr>
          <w:p>
            <w:pPr>
              <w:spacing w:after="0"/>
              <w:rPr>
                <w:sz w:val="19"/>
                <w:szCs w:val="19"/>
                <w:color w:val="auto"/>
              </w:rPr>
            </w:pPr>
          </w:p>
        </w:tc>
        <w:tc>
          <w:tcPr>
            <w:tcW w:w="60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0C0C0"/>
            </w:tcBorders>
            <w:shd w:val="clear" w:color="auto" w:fill="C0C0C0"/>
          </w:tcPr>
          <w:p>
            <w:pPr>
              <w:spacing w:after="0"/>
              <w:rPr>
                <w:sz w:val="19"/>
                <w:szCs w:val="19"/>
                <w:color w:val="auto"/>
              </w:rPr>
            </w:pPr>
          </w:p>
        </w:tc>
        <w:tc>
          <w:tcPr>
            <w:tcW w:w="120" w:type="dxa"/>
            <w:vAlign w:val="bottom"/>
            <w:tcBorders>
              <w:bottom w:val="single" w:sz="8" w:color="C0C0C0"/>
            </w:tcBorders>
            <w:shd w:val="clear" w:color="auto" w:fill="C0C0C0"/>
          </w:tcPr>
          <w:p>
            <w:pPr>
              <w:spacing w:after="0"/>
              <w:rPr>
                <w:sz w:val="19"/>
                <w:szCs w:val="19"/>
                <w:color w:val="auto"/>
              </w:rPr>
            </w:pPr>
          </w:p>
        </w:tc>
        <w:tc>
          <w:tcPr>
            <w:tcW w:w="58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289</w:t>
            </w:r>
          </w:p>
        </w:tc>
      </w:tr>
      <w:tr>
        <w:trPr>
          <w:trHeight w:val="20"/>
        </w:trPr>
        <w:tc>
          <w:tcPr>
            <w:tcW w:w="4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r>
      <w:tr>
        <w:trPr>
          <w:trHeight w:val="209"/>
        </w:trPr>
        <w:tc>
          <w:tcPr>
            <w:tcW w:w="4360" w:type="dxa"/>
            <w:vAlign w:val="bottom"/>
          </w:tcPr>
          <w:p>
            <w:pPr>
              <w:spacing w:after="0"/>
              <w:rPr>
                <w:sz w:val="20"/>
                <w:szCs w:val="20"/>
                <w:color w:val="auto"/>
              </w:rPr>
            </w:pPr>
            <w:r>
              <w:rPr>
                <w:rFonts w:ascii="Arial" w:cs="Arial" w:eastAsia="Arial" w:hAnsi="Arial"/>
                <w:sz w:val="14"/>
                <w:szCs w:val="14"/>
                <w:b w:val="1"/>
                <w:bCs w:val="1"/>
                <w:color w:val="auto"/>
              </w:rPr>
              <w:t>Balance at January 30, 2011</w:t>
            </w:r>
          </w:p>
        </w:tc>
        <w:tc>
          <w:tcPr>
            <w:tcW w:w="560" w:type="dxa"/>
            <w:vAlign w:val="bottom"/>
            <w:gridSpan w:val="2"/>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4"/>
                <w:szCs w:val="14"/>
                <w:color w:val="auto"/>
                <w:w w:val="88"/>
              </w:rPr>
              <w:t>53,865</w:t>
            </w:r>
          </w:p>
        </w:tc>
        <w:tc>
          <w:tcPr>
            <w:tcW w:w="140" w:type="dxa"/>
            <w:vAlign w:val="bottom"/>
          </w:tcPr>
          <w:p>
            <w:pPr>
              <w:spacing w:after="0"/>
              <w:rPr>
                <w:sz w:val="18"/>
                <w:szCs w:val="18"/>
                <w:color w:val="auto"/>
              </w:rPr>
            </w:pPr>
          </w:p>
        </w:tc>
        <w:tc>
          <w:tcPr>
            <w:tcW w:w="360" w:type="dxa"/>
            <w:vAlign w:val="bottom"/>
            <w:gridSpan w:val="2"/>
          </w:tcPr>
          <w:p>
            <w:pPr>
              <w:jc w:val="right"/>
              <w:ind w:right="152"/>
              <w:spacing w:after="0"/>
              <w:rPr>
                <w:sz w:val="20"/>
                <w:szCs w:val="20"/>
                <w:color w:val="auto"/>
              </w:rPr>
            </w:pPr>
            <w:r>
              <w:rPr>
                <w:rFonts w:ascii="Arial" w:cs="Arial" w:eastAsia="Arial" w:hAnsi="Arial"/>
                <w:sz w:val="14"/>
                <w:szCs w:val="14"/>
                <w:color w:val="auto"/>
              </w:rPr>
              <w:t>$</w:t>
            </w:r>
          </w:p>
        </w:tc>
        <w:tc>
          <w:tcPr>
            <w:tcW w:w="220" w:type="dxa"/>
            <w:vAlign w:val="bottom"/>
          </w:tcPr>
          <w:p>
            <w:pPr>
              <w:jc w:val="right"/>
              <w:spacing w:after="0"/>
              <w:rPr>
                <w:sz w:val="20"/>
                <w:szCs w:val="20"/>
                <w:color w:val="auto"/>
              </w:rPr>
            </w:pPr>
            <w:r>
              <w:rPr>
                <w:rFonts w:ascii="Arial" w:cs="Arial" w:eastAsia="Arial" w:hAnsi="Arial"/>
                <w:sz w:val="14"/>
                <w:szCs w:val="14"/>
                <w:color w:val="auto"/>
                <w:w w:val="85"/>
              </w:rPr>
              <w:t>539</w:t>
            </w:r>
          </w:p>
        </w:tc>
        <w:tc>
          <w:tcPr>
            <w:tcW w:w="100" w:type="dxa"/>
            <w:vAlign w:val="bottom"/>
          </w:tcPr>
          <w:p>
            <w:pPr>
              <w:spacing w:after="0"/>
              <w:rPr>
                <w:sz w:val="18"/>
                <w:szCs w:val="18"/>
                <w:color w:val="auto"/>
              </w:rPr>
            </w:pPr>
          </w:p>
        </w:tc>
        <w:tc>
          <w:tcPr>
            <w:tcW w:w="20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437,360</w:t>
            </w:r>
          </w:p>
        </w:tc>
        <w:tc>
          <w:tcPr>
            <w:tcW w:w="100" w:type="dxa"/>
            <w:vAlign w:val="bottom"/>
          </w:tcPr>
          <w:p>
            <w:pPr>
              <w:spacing w:after="0"/>
              <w:rPr>
                <w:sz w:val="18"/>
                <w:szCs w:val="18"/>
                <w:color w:val="auto"/>
              </w:rPr>
            </w:pPr>
          </w:p>
        </w:tc>
        <w:tc>
          <w:tcPr>
            <w:tcW w:w="200" w:type="dxa"/>
            <w:vAlign w:val="bottom"/>
            <w:gridSpan w:val="2"/>
          </w:tcPr>
          <w:p>
            <w:pPr>
              <w:ind w:left="120"/>
              <w:spacing w:after="0"/>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9,487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12,906</w:t>
            </w:r>
          </w:p>
        </w:tc>
        <w:tc>
          <w:tcPr>
            <w:tcW w:w="260" w:type="dxa"/>
            <w:vAlign w:val="bottom"/>
            <w:gridSpan w:val="2"/>
          </w:tcPr>
          <w:p>
            <w:pPr>
              <w:jc w:val="right"/>
              <w:ind w:right="12"/>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460,292</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58,170</w:t>
            </w:r>
          </w:p>
        </w:tc>
        <w:tc>
          <w:tcPr>
            <w:tcW w:w="3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518,462</w:t>
            </w:r>
          </w:p>
        </w:tc>
      </w:tr>
      <w:tr>
        <w:trPr>
          <w:trHeight w:val="35"/>
        </w:trPr>
        <w:tc>
          <w:tcPr>
            <w:tcW w:w="4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20" w:type="dxa"/>
            <w:vAlign w:val="bottom"/>
            <w:gridSpan w:val="2"/>
          </w:tcPr>
          <w:p>
            <w:pPr>
              <w:spacing w:after="0"/>
              <w:rPr>
                <w:sz w:val="3"/>
                <w:szCs w:val="3"/>
                <w:color w:val="auto"/>
              </w:rPr>
            </w:pPr>
          </w:p>
        </w:tc>
        <w:tc>
          <w:tcPr>
            <w:tcW w:w="580" w:type="dxa"/>
            <w:vAlign w:val="bottom"/>
            <w:tcBorders>
              <w:bottom w:val="single" w:sz="8" w:color="auto"/>
            </w:tcBorders>
            <w:gridSpan w:val="2"/>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Borders>
              <w:bottom w:val="single" w:sz="8" w:color="auto"/>
            </w:tcBorders>
            <w:gridSpan w:val="2"/>
          </w:tcPr>
          <w:p>
            <w:pPr>
              <w:spacing w:after="0"/>
              <w:rPr>
                <w:sz w:val="3"/>
                <w:szCs w:val="3"/>
                <w:color w:val="auto"/>
              </w:rPr>
            </w:pPr>
          </w:p>
        </w:tc>
        <w:tc>
          <w:tcPr>
            <w:tcW w:w="220" w:type="dxa"/>
            <w:vAlign w:val="bottom"/>
            <w:gridSpan w:val="2"/>
          </w:tcPr>
          <w:p>
            <w:pPr>
              <w:spacing w:after="0"/>
              <w:rPr>
                <w:sz w:val="3"/>
                <w:szCs w:val="3"/>
                <w:color w:val="auto"/>
              </w:rPr>
            </w:pPr>
          </w:p>
        </w:tc>
        <w:tc>
          <w:tcPr>
            <w:tcW w:w="70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r>
      <w:tr>
        <w:trPr>
          <w:trHeight w:val="445"/>
        </w:trPr>
        <w:tc>
          <w:tcPr>
            <w:tcW w:w="4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960" w:type="dxa"/>
            <w:vAlign w:val="bottom"/>
            <w:gridSpan w:val="15"/>
          </w:tcPr>
          <w:p>
            <w:pPr>
              <w:jc w:val="center"/>
              <w:ind w:right="440"/>
              <w:spacing w:after="0"/>
              <w:rPr>
                <w:sz w:val="20"/>
                <w:szCs w:val="20"/>
                <w:color w:val="auto"/>
              </w:rPr>
            </w:pPr>
            <w:r>
              <w:rPr>
                <w:rFonts w:ascii="Arial" w:cs="Arial" w:eastAsia="Arial" w:hAnsi="Arial"/>
                <w:sz w:val="14"/>
                <w:szCs w:val="14"/>
                <w:b w:val="1"/>
                <w:bCs w:val="1"/>
                <w:color w:val="auto"/>
                <w:w w:val="88"/>
              </w:rPr>
              <w:t>Three Months Ended January 31, 2010</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41"/>
        </w:trPr>
        <w:tc>
          <w:tcPr>
            <w:tcW w:w="4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20" w:type="dxa"/>
            <w:vAlign w:val="bottom"/>
            <w:tcBorders>
              <w:bottom w:val="single" w:sz="8" w:color="auto"/>
            </w:tcBorders>
            <w:gridSpan w:val="10"/>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r>
      <w:tr>
        <w:trPr>
          <w:trHeight w:val="196"/>
        </w:trPr>
        <w:tc>
          <w:tcPr>
            <w:tcW w:w="4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gridSpan w:val="10"/>
          </w:tcPr>
          <w:p>
            <w:pPr>
              <w:ind w:left="100"/>
              <w:spacing w:after="0"/>
              <w:rPr>
                <w:sz w:val="20"/>
                <w:szCs w:val="20"/>
                <w:color w:val="auto"/>
              </w:rPr>
            </w:pPr>
            <w:r>
              <w:rPr>
                <w:rFonts w:ascii="Arial" w:cs="Arial" w:eastAsia="Arial" w:hAnsi="Arial"/>
                <w:sz w:val="14"/>
                <w:szCs w:val="14"/>
                <w:b w:val="1"/>
                <w:bCs w:val="1"/>
                <w:color w:val="auto"/>
                <w:w w:val="85"/>
              </w:rPr>
              <w:t>Photronics, Inc. Shareholders</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41"/>
        </w:trPr>
        <w:tc>
          <w:tcPr>
            <w:tcW w:w="4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gridSpan w:val="3"/>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r>
      <w:tr>
        <w:trPr>
          <w:trHeight w:val="196"/>
        </w:trPr>
        <w:tc>
          <w:tcPr>
            <w:tcW w:w="4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5"/>
              </w:rPr>
              <w:t>Accum-</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43"/>
        </w:trPr>
        <w:tc>
          <w:tcPr>
            <w:tcW w:w="4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ulated</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r>
      <w:tr>
        <w:trPr>
          <w:trHeight w:val="243"/>
        </w:trPr>
        <w:tc>
          <w:tcPr>
            <w:tcW w:w="4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r>
      <w:tr>
        <w:trPr>
          <w:trHeight w:val="243"/>
        </w:trPr>
        <w:tc>
          <w:tcPr>
            <w:tcW w:w="4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4"/>
          </w:tcPr>
          <w:p>
            <w:pPr>
              <w:ind w:left="100"/>
              <w:spacing w:after="0"/>
              <w:rPr>
                <w:sz w:val="20"/>
                <w:szCs w:val="20"/>
                <w:color w:val="auto"/>
              </w:rPr>
            </w:pPr>
            <w:r>
              <w:rPr>
                <w:rFonts w:ascii="Arial" w:cs="Arial" w:eastAsia="Arial" w:hAnsi="Arial"/>
                <w:sz w:val="14"/>
                <w:szCs w:val="14"/>
                <w:b w:val="1"/>
                <w:bCs w:val="1"/>
                <w:color w:val="auto"/>
              </w:rPr>
              <w:t>Add'l</w:t>
            </w:r>
          </w:p>
        </w:tc>
        <w:tc>
          <w:tcPr>
            <w:tcW w:w="100" w:type="dxa"/>
            <w:vAlign w:val="bottom"/>
          </w:tcPr>
          <w:p>
            <w:pPr>
              <w:spacing w:after="0"/>
              <w:rPr>
                <w:sz w:val="21"/>
                <w:szCs w:val="21"/>
                <w:color w:val="auto"/>
              </w:rPr>
            </w:pPr>
          </w:p>
        </w:tc>
        <w:tc>
          <w:tcPr>
            <w:tcW w:w="920" w:type="dxa"/>
            <w:vAlign w:val="bottom"/>
            <w:gridSpan w:val="5"/>
          </w:tcPr>
          <w:p>
            <w:pPr>
              <w:ind w:left="100"/>
              <w:spacing w:after="0"/>
              <w:rPr>
                <w:sz w:val="20"/>
                <w:szCs w:val="20"/>
                <w:color w:val="auto"/>
              </w:rPr>
            </w:pPr>
            <w:r>
              <w:rPr>
                <w:rFonts w:ascii="Arial" w:cs="Arial" w:eastAsia="Arial" w:hAnsi="Arial"/>
                <w:sz w:val="14"/>
                <w:szCs w:val="14"/>
                <w:b w:val="1"/>
                <w:bCs w:val="1"/>
                <w:color w:val="auto"/>
              </w:rPr>
              <w:t>Accum-</w:t>
            </w:r>
          </w:p>
        </w:tc>
        <w:tc>
          <w:tcPr>
            <w:tcW w:w="80" w:type="dxa"/>
            <w:vAlign w:val="bottom"/>
          </w:tcPr>
          <w:p>
            <w:pPr>
              <w:spacing w:after="0"/>
              <w:rPr>
                <w:sz w:val="21"/>
                <w:szCs w:val="21"/>
                <w:color w:val="auto"/>
              </w:rPr>
            </w:pPr>
          </w:p>
        </w:tc>
        <w:tc>
          <w:tcPr>
            <w:tcW w:w="7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0"/>
              </w:rPr>
              <w:t>Compre-</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Total</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jc w:val="center"/>
              <w:ind w:right="12"/>
              <w:spacing w:after="0"/>
              <w:rPr>
                <w:sz w:val="20"/>
                <w:szCs w:val="20"/>
                <w:color w:val="auto"/>
              </w:rPr>
            </w:pPr>
            <w:r>
              <w:rPr>
                <w:rFonts w:ascii="Arial" w:cs="Arial" w:eastAsia="Arial" w:hAnsi="Arial"/>
                <w:sz w:val="14"/>
                <w:szCs w:val="14"/>
                <w:b w:val="1"/>
                <w:bCs w:val="1"/>
                <w:color w:val="auto"/>
                <w:w w:val="87"/>
              </w:rPr>
              <w:t>Non-</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r>
      <w:tr>
        <w:trPr>
          <w:trHeight w:val="243"/>
        </w:trPr>
        <w:tc>
          <w:tcPr>
            <w:tcW w:w="4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6"/>
          </w:tcPr>
          <w:p>
            <w:pPr>
              <w:jc w:val="right"/>
              <w:ind w:right="112"/>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4"/>
          </w:tcPr>
          <w:p>
            <w:pPr>
              <w:jc w:val="right"/>
              <w:ind w:right="272"/>
              <w:spacing w:after="0"/>
              <w:rPr>
                <w:sz w:val="20"/>
                <w:szCs w:val="20"/>
                <w:color w:val="auto"/>
              </w:rPr>
            </w:pPr>
            <w:r>
              <w:rPr>
                <w:rFonts w:ascii="Arial" w:cs="Arial" w:eastAsia="Arial" w:hAnsi="Arial"/>
                <w:sz w:val="14"/>
                <w:szCs w:val="14"/>
                <w:b w:val="1"/>
                <w:bCs w:val="1"/>
                <w:color w:val="auto"/>
                <w:w w:val="94"/>
              </w:rPr>
              <w:t>Paid-in</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gridSpan w:val="4"/>
          </w:tcPr>
          <w:p>
            <w:pPr>
              <w:ind w:left="20"/>
              <w:spacing w:after="0"/>
              <w:rPr>
                <w:sz w:val="20"/>
                <w:szCs w:val="20"/>
                <w:color w:val="auto"/>
              </w:rPr>
            </w:pPr>
            <w:r>
              <w:rPr>
                <w:rFonts w:ascii="Arial" w:cs="Arial" w:eastAsia="Arial" w:hAnsi="Arial"/>
                <w:sz w:val="14"/>
                <w:szCs w:val="14"/>
                <w:b w:val="1"/>
                <w:bCs w:val="1"/>
                <w:color w:val="auto"/>
              </w:rPr>
              <w:t>ulated</w:t>
            </w:r>
          </w:p>
        </w:tc>
        <w:tc>
          <w:tcPr>
            <w:tcW w:w="80" w:type="dxa"/>
            <w:vAlign w:val="bottom"/>
          </w:tcPr>
          <w:p>
            <w:pPr>
              <w:spacing w:after="0"/>
              <w:rPr>
                <w:sz w:val="21"/>
                <w:szCs w:val="21"/>
                <w:color w:val="auto"/>
              </w:rPr>
            </w:pPr>
          </w:p>
        </w:tc>
        <w:tc>
          <w:tcPr>
            <w:tcW w:w="7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4"/>
              </w:rPr>
              <w:t>hensive</w:t>
            </w:r>
          </w:p>
        </w:tc>
        <w:tc>
          <w:tcPr>
            <w:tcW w:w="120" w:type="dxa"/>
            <w:vAlign w:val="bottom"/>
          </w:tcPr>
          <w:p>
            <w:pPr>
              <w:spacing w:after="0"/>
              <w:rPr>
                <w:sz w:val="21"/>
                <w:szCs w:val="21"/>
                <w:color w:val="auto"/>
              </w:rPr>
            </w:pPr>
          </w:p>
        </w:tc>
        <w:tc>
          <w:tcPr>
            <w:tcW w:w="8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5"/>
              </w:rPr>
              <w:t>Photronics,</w:t>
            </w:r>
          </w:p>
        </w:tc>
        <w:tc>
          <w:tcPr>
            <w:tcW w:w="120" w:type="dxa"/>
            <w:vAlign w:val="bottom"/>
          </w:tcPr>
          <w:p>
            <w:pPr>
              <w:spacing w:after="0"/>
              <w:rPr>
                <w:sz w:val="21"/>
                <w:szCs w:val="21"/>
                <w:color w:val="auto"/>
              </w:rPr>
            </w:pP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controlling</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center"/>
              <w:ind w:right="52"/>
              <w:spacing w:after="0"/>
              <w:rPr>
                <w:sz w:val="20"/>
                <w:szCs w:val="20"/>
                <w:color w:val="auto"/>
              </w:rPr>
            </w:pPr>
            <w:r>
              <w:rPr>
                <w:rFonts w:ascii="Arial" w:cs="Arial" w:eastAsia="Arial" w:hAnsi="Arial"/>
                <w:sz w:val="14"/>
                <w:szCs w:val="14"/>
                <w:b w:val="1"/>
                <w:bCs w:val="1"/>
                <w:color w:val="auto"/>
                <w:w w:val="89"/>
              </w:rPr>
              <w:t>Total</w:t>
            </w:r>
          </w:p>
        </w:tc>
      </w:tr>
      <w:tr>
        <w:trPr>
          <w:trHeight w:val="41"/>
        </w:trPr>
        <w:tc>
          <w:tcPr>
            <w:tcW w:w="4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Borders>
              <w:bottom w:val="single" w:sz="8" w:color="auto"/>
            </w:tcBorders>
            <w:gridSpan w:val="3"/>
          </w:tcPr>
          <w:p>
            <w:pPr>
              <w:spacing w:after="0"/>
              <w:rPr>
                <w:sz w:val="3"/>
                <w:szCs w:val="3"/>
                <w:color w:val="auto"/>
              </w:rPr>
            </w:pPr>
          </w:p>
        </w:tc>
        <w:tc>
          <w:tcPr>
            <w:tcW w:w="500" w:type="dxa"/>
            <w:vAlign w:val="bottom"/>
            <w:tcBorders>
              <w:bottom w:val="single" w:sz="8" w:color="auto"/>
            </w:tcBorders>
            <w:gridSpan w:val="3"/>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gridSpan w:val="4"/>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gridSpan w:val="5"/>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r>
      <w:tr>
        <w:trPr>
          <w:trHeight w:val="196"/>
        </w:trPr>
        <w:tc>
          <w:tcPr>
            <w:tcW w:w="4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4"/>
              </w:rPr>
              <w:t>Shares</w:t>
            </w:r>
          </w:p>
        </w:tc>
        <w:tc>
          <w:tcPr>
            <w:tcW w:w="500" w:type="dxa"/>
            <w:vAlign w:val="bottom"/>
            <w:gridSpan w:val="3"/>
          </w:tcPr>
          <w:p>
            <w:pPr>
              <w:ind w:left="20"/>
              <w:spacing w:after="0"/>
              <w:rPr>
                <w:sz w:val="20"/>
                <w:szCs w:val="20"/>
                <w:color w:val="auto"/>
              </w:rPr>
            </w:pPr>
            <w:r>
              <w:rPr>
                <w:rFonts w:ascii="Arial" w:cs="Arial" w:eastAsia="Arial" w:hAnsi="Arial"/>
                <w:sz w:val="14"/>
                <w:szCs w:val="14"/>
                <w:b w:val="1"/>
                <w:bCs w:val="1"/>
                <w:color w:val="auto"/>
                <w:w w:val="86"/>
              </w:rPr>
              <w:t>Amount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4"/>
          </w:tcPr>
          <w:p>
            <w:pPr>
              <w:jc w:val="right"/>
              <w:ind w:right="252"/>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7"/>
                <w:szCs w:val="17"/>
                <w:color w:val="auto"/>
              </w:rPr>
            </w:pPr>
          </w:p>
        </w:tc>
        <w:tc>
          <w:tcPr>
            <w:tcW w:w="920" w:type="dxa"/>
            <w:vAlign w:val="bottom"/>
            <w:gridSpan w:val="5"/>
          </w:tcPr>
          <w:p>
            <w:pPr>
              <w:ind w:left="120"/>
              <w:spacing w:after="0"/>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Loss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Inc.</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center"/>
              <w:ind w:right="32"/>
              <w:spacing w:after="0"/>
              <w:rPr>
                <w:sz w:val="20"/>
                <w:szCs w:val="20"/>
                <w:color w:val="auto"/>
              </w:rPr>
            </w:pPr>
            <w:r>
              <w:rPr>
                <w:rFonts w:ascii="Arial" w:cs="Arial" w:eastAsia="Arial" w:hAnsi="Arial"/>
                <w:sz w:val="14"/>
                <w:szCs w:val="14"/>
                <w:b w:val="1"/>
                <w:bCs w:val="1"/>
                <w:color w:val="auto"/>
                <w:w w:val="85"/>
              </w:rPr>
              <w:t>Interests</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center"/>
              <w:ind w:right="52"/>
              <w:spacing w:after="0"/>
              <w:rPr>
                <w:sz w:val="20"/>
                <w:szCs w:val="20"/>
                <w:color w:val="auto"/>
              </w:rPr>
            </w:pPr>
            <w:r>
              <w:rPr>
                <w:rFonts w:ascii="Arial" w:cs="Arial" w:eastAsia="Arial" w:hAnsi="Arial"/>
                <w:sz w:val="14"/>
                <w:szCs w:val="14"/>
                <w:b w:val="1"/>
                <w:bCs w:val="1"/>
                <w:color w:val="auto"/>
                <w:w w:val="88"/>
              </w:rPr>
              <w:t>Equity</w:t>
            </w:r>
          </w:p>
        </w:tc>
      </w:tr>
      <w:tr>
        <w:trPr>
          <w:trHeight w:val="41"/>
        </w:trPr>
        <w:tc>
          <w:tcPr>
            <w:tcW w:w="4360" w:type="dxa"/>
            <w:vAlign w:val="bottom"/>
            <w:tcBorders>
              <w:bottom w:val="single" w:sz="8" w:color="C0C0C0"/>
            </w:tcBorders>
          </w:tcPr>
          <w:p>
            <w:pPr>
              <w:spacing w:after="0"/>
              <w:rPr>
                <w:sz w:val="3"/>
                <w:szCs w:val="3"/>
                <w:color w:val="auto"/>
              </w:rPr>
            </w:pPr>
          </w:p>
        </w:tc>
        <w:tc>
          <w:tcPr>
            <w:tcW w:w="220" w:type="dxa"/>
            <w:vAlign w:val="bottom"/>
            <w:tcBorders>
              <w:bottom w:val="single" w:sz="8" w:color="C0C0C0"/>
            </w:tcBorders>
          </w:tcPr>
          <w:p>
            <w:pPr>
              <w:spacing w:after="0"/>
              <w:rPr>
                <w:sz w:val="3"/>
                <w:szCs w:val="3"/>
                <w:color w:val="auto"/>
              </w:rPr>
            </w:pPr>
          </w:p>
        </w:tc>
        <w:tc>
          <w:tcPr>
            <w:tcW w:w="54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C0C0C0"/>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C0C0C0"/>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gridSpan w:val="3"/>
          </w:tcPr>
          <w:p>
            <w:pPr>
              <w:spacing w:after="0"/>
              <w:rPr>
                <w:sz w:val="3"/>
                <w:szCs w:val="3"/>
                <w:color w:val="auto"/>
              </w:rPr>
            </w:pPr>
          </w:p>
        </w:tc>
        <w:tc>
          <w:tcPr>
            <w:tcW w:w="200" w:type="dxa"/>
            <w:vAlign w:val="bottom"/>
            <w:tcBorders>
              <w:bottom w:val="single" w:sz="8" w:color="C0C0C0"/>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Borders>
              <w:bottom w:val="single" w:sz="8" w:color="C0C0C0"/>
            </w:tcBorders>
          </w:tcPr>
          <w:p>
            <w:pPr>
              <w:spacing w:after="0"/>
              <w:rPr>
                <w:sz w:val="3"/>
                <w:szCs w:val="3"/>
                <w:color w:val="auto"/>
              </w:rPr>
            </w:pPr>
          </w:p>
        </w:tc>
        <w:tc>
          <w:tcPr>
            <w:tcW w:w="140" w:type="dxa"/>
            <w:vAlign w:val="bottom"/>
            <w:tcBorders>
              <w:bottom w:val="single" w:sz="8" w:color="C0C0C0"/>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120" w:type="dxa"/>
            <w:vAlign w:val="bottom"/>
            <w:tcBorders>
              <w:bottom w:val="single" w:sz="8" w:color="C0C0C0"/>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120" w:type="dxa"/>
            <w:vAlign w:val="bottom"/>
            <w:tcBorders>
              <w:bottom w:val="single" w:sz="8" w:color="C0C0C0"/>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20" w:type="dxa"/>
            <w:vAlign w:val="bottom"/>
            <w:tcBorders>
              <w:bottom w:val="single" w:sz="8" w:color="C0C0C0"/>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r>
      <w:tr>
        <w:trPr>
          <w:trHeight w:val="217"/>
        </w:trPr>
        <w:tc>
          <w:tcPr>
            <w:tcW w:w="436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4"/>
                <w:szCs w:val="14"/>
                <w:b w:val="1"/>
                <w:bCs w:val="1"/>
                <w:color w:val="auto"/>
              </w:rPr>
              <w:t>Balance at November 2, 2009</w:t>
            </w:r>
          </w:p>
        </w:tc>
        <w:tc>
          <w:tcPr>
            <w:tcW w:w="760" w:type="dxa"/>
            <w:vAlign w:val="bottom"/>
            <w:tcBorders>
              <w:bottom w:val="single" w:sz="8" w:color="C0C0C0"/>
            </w:tcBorders>
            <w:gridSpan w:val="3"/>
            <w:shd w:val="clear" w:color="auto" w:fill="C0C0C0"/>
          </w:tcPr>
          <w:p>
            <w:pPr>
              <w:jc w:val="right"/>
              <w:spacing w:after="0"/>
              <w:rPr>
                <w:sz w:val="20"/>
                <w:szCs w:val="20"/>
                <w:color w:val="auto"/>
              </w:rPr>
            </w:pPr>
            <w:r>
              <w:rPr>
                <w:rFonts w:ascii="Arial" w:cs="Arial" w:eastAsia="Arial" w:hAnsi="Arial"/>
                <w:sz w:val="14"/>
                <w:szCs w:val="14"/>
                <w:color w:val="auto"/>
              </w:rPr>
              <w:t>53,011</w:t>
            </w:r>
          </w:p>
        </w:tc>
        <w:tc>
          <w:tcPr>
            <w:tcW w:w="200" w:type="dxa"/>
            <w:vAlign w:val="bottom"/>
            <w:tcBorders>
              <w:bottom w:val="single" w:sz="8" w:color="C0C0C0"/>
            </w:tcBorders>
            <w:shd w:val="clear" w:color="auto" w:fill="C0C0C0"/>
          </w:tcPr>
          <w:p>
            <w:pPr>
              <w:spacing w:after="0"/>
              <w:rPr>
                <w:sz w:val="18"/>
                <w:szCs w:val="18"/>
                <w:color w:val="auto"/>
              </w:rPr>
            </w:pPr>
          </w:p>
        </w:tc>
        <w:tc>
          <w:tcPr>
            <w:tcW w:w="14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C0C0C0"/>
            </w:tcBorders>
            <w:gridSpan w:val="2"/>
            <w:shd w:val="clear" w:color="auto" w:fill="C0C0C0"/>
          </w:tcPr>
          <w:p>
            <w:pPr>
              <w:jc w:val="right"/>
              <w:spacing w:after="0"/>
              <w:rPr>
                <w:sz w:val="20"/>
                <w:szCs w:val="20"/>
                <w:color w:val="auto"/>
              </w:rPr>
            </w:pPr>
            <w:r>
              <w:rPr>
                <w:rFonts w:ascii="Arial" w:cs="Arial" w:eastAsia="Arial" w:hAnsi="Arial"/>
                <w:sz w:val="14"/>
                <w:szCs w:val="14"/>
                <w:color w:val="auto"/>
              </w:rPr>
              <w:t>530</w:t>
            </w:r>
          </w:p>
        </w:tc>
        <w:tc>
          <w:tcPr>
            <w:tcW w:w="320" w:type="dxa"/>
            <w:vAlign w:val="bottom"/>
            <w:tcBorders>
              <w:bottom w:val="single" w:sz="8" w:color="C0C0C0"/>
            </w:tcBorders>
            <w:gridSpan w:val="2"/>
            <w:shd w:val="clear" w:color="auto" w:fill="C0C0C0"/>
          </w:tcPr>
          <w:p>
            <w:pPr>
              <w:jc w:val="right"/>
              <w:ind w:right="2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0C0C0"/>
            </w:tcBorders>
            <w:gridSpan w:val="4"/>
            <w:shd w:val="clear" w:color="auto" w:fill="C0C0C0"/>
          </w:tcPr>
          <w:p>
            <w:pPr>
              <w:jc w:val="right"/>
              <w:ind w:right="132"/>
              <w:spacing w:after="0"/>
              <w:rPr>
                <w:sz w:val="20"/>
                <w:szCs w:val="20"/>
                <w:color w:val="auto"/>
              </w:rPr>
            </w:pPr>
            <w:r>
              <w:rPr>
                <w:rFonts w:ascii="Arial" w:cs="Arial" w:eastAsia="Arial" w:hAnsi="Arial"/>
                <w:sz w:val="14"/>
                <w:szCs w:val="14"/>
                <w:color w:val="auto"/>
              </w:rPr>
              <w:t>432,160</w:t>
            </w:r>
          </w:p>
        </w:tc>
        <w:tc>
          <w:tcPr>
            <w:tcW w:w="100" w:type="dxa"/>
            <w:vAlign w:val="bottom"/>
            <w:tcBorders>
              <w:left w:val="single" w:sz="8" w:color="C0C0C0"/>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0C0C0"/>
            </w:tcBorders>
            <w:shd w:val="clear" w:color="auto" w:fill="C0C0C0"/>
          </w:tcPr>
          <w:p>
            <w:pPr>
              <w:spacing w:after="0"/>
              <w:rPr>
                <w:sz w:val="18"/>
                <w:szCs w:val="18"/>
                <w:color w:val="auto"/>
              </w:rPr>
            </w:pPr>
          </w:p>
        </w:tc>
        <w:tc>
          <w:tcPr>
            <w:tcW w:w="80" w:type="dxa"/>
            <w:vAlign w:val="bottom"/>
            <w:tcBorders>
              <w:bottom w:val="single" w:sz="8" w:color="C0C0C0"/>
            </w:tcBorders>
            <w:shd w:val="clear" w:color="auto" w:fill="C0C0C0"/>
          </w:tcPr>
          <w:p>
            <w:pPr>
              <w:spacing w:after="0"/>
              <w:rPr>
                <w:sz w:val="18"/>
                <w:szCs w:val="18"/>
                <w:color w:val="auto"/>
              </w:rPr>
            </w:pPr>
          </w:p>
        </w:tc>
        <w:tc>
          <w:tcPr>
            <w:tcW w:w="50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w w:val="84"/>
              </w:rPr>
              <w:t>(26,546)</w:t>
            </w:r>
          </w:p>
        </w:tc>
        <w:tc>
          <w:tcPr>
            <w:tcW w:w="80" w:type="dxa"/>
            <w:vAlign w:val="bottom"/>
            <w:tcBorders>
              <w:bottom w:val="single" w:sz="8" w:color="C0C0C0"/>
            </w:tcBorders>
            <w:shd w:val="clear" w:color="auto" w:fill="C0C0C0"/>
          </w:tcPr>
          <w:p>
            <w:pPr>
              <w:spacing w:after="0"/>
              <w:rPr>
                <w:sz w:val="18"/>
                <w:szCs w:val="18"/>
                <w:color w:val="auto"/>
              </w:rPr>
            </w:pPr>
          </w:p>
        </w:tc>
        <w:tc>
          <w:tcPr>
            <w:tcW w:w="140" w:type="dxa"/>
            <w:vAlign w:val="bottom"/>
            <w:tcBorders>
              <w:bottom w:val="single" w:sz="8" w:color="C0C0C0"/>
            </w:tcBorders>
            <w:shd w:val="clear" w:color="auto" w:fill="C0C0C0"/>
          </w:tcPr>
          <w:p>
            <w:pPr>
              <w:spacing w:after="0"/>
              <w:rPr>
                <w:sz w:val="18"/>
                <w:szCs w:val="18"/>
                <w:color w:val="auto"/>
              </w:rPr>
            </w:pPr>
          </w:p>
        </w:tc>
        <w:tc>
          <w:tcPr>
            <w:tcW w:w="80" w:type="dxa"/>
            <w:vAlign w:val="bottom"/>
            <w:tcBorders>
              <w:bottom w:val="single" w:sz="8" w:color="C0C0C0"/>
            </w:tcBorders>
            <w:shd w:val="clear" w:color="auto" w:fill="C0C0C0"/>
          </w:tcPr>
          <w:p>
            <w:pPr>
              <w:jc w:val="center"/>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0C0C0"/>
            </w:tcBorders>
            <w:shd w:val="clear" w:color="auto" w:fill="C0C0C0"/>
          </w:tcPr>
          <w:p>
            <w:pPr>
              <w:spacing w:after="0"/>
              <w:rPr>
                <w:sz w:val="18"/>
                <w:szCs w:val="18"/>
                <w:color w:val="auto"/>
              </w:rPr>
            </w:pPr>
          </w:p>
        </w:tc>
        <w:tc>
          <w:tcPr>
            <w:tcW w:w="56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(6,389)</w:t>
            </w:r>
          </w:p>
        </w:tc>
        <w:tc>
          <w:tcPr>
            <w:tcW w:w="100" w:type="dxa"/>
            <w:vAlign w:val="bottom"/>
            <w:tcBorders>
              <w:bottom w:val="single" w:sz="8" w:color="C0C0C0"/>
            </w:tcBorders>
            <w:shd w:val="clear" w:color="auto" w:fill="C0C0C0"/>
          </w:tcPr>
          <w:p>
            <w:pPr>
              <w:spacing w:after="0"/>
              <w:rPr>
                <w:sz w:val="18"/>
                <w:szCs w:val="18"/>
                <w:color w:val="auto"/>
              </w:rPr>
            </w:pPr>
          </w:p>
        </w:tc>
        <w:tc>
          <w:tcPr>
            <w:tcW w:w="260" w:type="dxa"/>
            <w:vAlign w:val="bottom"/>
            <w:tcBorders>
              <w:bottom w:val="single" w:sz="8" w:color="C0C0C0"/>
            </w:tcBorders>
            <w:gridSpan w:val="2"/>
            <w:shd w:val="clear" w:color="auto" w:fill="C0C0C0"/>
          </w:tcPr>
          <w:p>
            <w:pPr>
              <w:jc w:val="right"/>
              <w:ind w:right="12"/>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0C0C0"/>
            </w:tcBorders>
            <w:gridSpan w:val="2"/>
            <w:shd w:val="clear" w:color="auto" w:fill="C0C0C0"/>
          </w:tcPr>
          <w:p>
            <w:pPr>
              <w:jc w:val="right"/>
              <w:ind w:right="100"/>
              <w:spacing w:after="0"/>
              <w:rPr>
                <w:sz w:val="20"/>
                <w:szCs w:val="20"/>
                <w:color w:val="auto"/>
              </w:rPr>
            </w:pPr>
            <w:r>
              <w:rPr>
                <w:rFonts w:ascii="Arial" w:cs="Arial" w:eastAsia="Arial" w:hAnsi="Arial"/>
                <w:sz w:val="14"/>
                <w:szCs w:val="14"/>
                <w:color w:val="auto"/>
              </w:rPr>
              <w:t>399,755</w:t>
            </w:r>
          </w:p>
        </w:tc>
        <w:tc>
          <w:tcPr>
            <w:tcW w:w="200" w:type="dxa"/>
            <w:vAlign w:val="bottom"/>
            <w:tcBorders>
              <w:bottom w:val="single" w:sz="8" w:color="C0C0C0"/>
            </w:tcBorders>
            <w:gridSpan w:val="2"/>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49,941</w:t>
            </w:r>
          </w:p>
        </w:tc>
        <w:tc>
          <w:tcPr>
            <w:tcW w:w="340" w:type="dxa"/>
            <w:vAlign w:val="bottom"/>
            <w:tcBorders>
              <w:bottom w:val="single" w:sz="8" w:color="C0C0C0"/>
            </w:tcBorders>
            <w:gridSpan w:val="2"/>
            <w:shd w:val="clear" w:color="auto" w:fill="C0C0C0"/>
          </w:tcPr>
          <w:p>
            <w:pPr>
              <w:jc w:val="right"/>
              <w:ind w:right="60"/>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449,696</w:t>
            </w:r>
          </w:p>
        </w:tc>
      </w:tr>
      <w:tr>
        <w:trPr>
          <w:trHeight w:val="202"/>
        </w:trPr>
        <w:tc>
          <w:tcPr>
            <w:tcW w:w="4360" w:type="dxa"/>
            <w:vAlign w:val="bottom"/>
          </w:tcPr>
          <w:p>
            <w:pPr>
              <w:spacing w:after="0"/>
              <w:rPr>
                <w:sz w:val="20"/>
                <w:szCs w:val="20"/>
                <w:color w:val="auto"/>
              </w:rPr>
            </w:pPr>
            <w:r>
              <w:rPr>
                <w:rFonts w:ascii="Arial" w:cs="Arial" w:eastAsia="Arial" w:hAnsi="Arial"/>
                <w:sz w:val="14"/>
                <w:szCs w:val="14"/>
                <w:color w:val="auto"/>
              </w:rPr>
              <w:t>Comprehensive income:</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41"/>
        </w:trPr>
        <w:tc>
          <w:tcPr>
            <w:tcW w:w="4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gridSpan w:val="2"/>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360" w:type="dxa"/>
            <w:vAlign w:val="bottom"/>
            <w:gridSpan w:val="2"/>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r>
      <w:tr>
        <w:trPr>
          <w:trHeight w:val="223"/>
        </w:trPr>
        <w:tc>
          <w:tcPr>
            <w:tcW w:w="4360" w:type="dxa"/>
            <w:vAlign w:val="bottom"/>
            <w:tcBorders>
              <w:bottom w:val="single" w:sz="8" w:color="C0C0C0"/>
            </w:tcBorders>
            <w:shd w:val="clear" w:color="auto" w:fill="C0C0C0"/>
          </w:tcPr>
          <w:p>
            <w:pPr>
              <w:ind w:left="240"/>
              <w:spacing w:after="0"/>
              <w:rPr>
                <w:sz w:val="20"/>
                <w:szCs w:val="20"/>
                <w:color w:val="auto"/>
              </w:rPr>
            </w:pPr>
            <w:r>
              <w:rPr>
                <w:rFonts w:ascii="Arial" w:cs="Arial" w:eastAsia="Arial" w:hAnsi="Arial"/>
                <w:sz w:val="14"/>
                <w:szCs w:val="14"/>
                <w:color w:val="auto"/>
              </w:rPr>
              <w:t>Net income</w:t>
            </w:r>
          </w:p>
        </w:tc>
        <w:tc>
          <w:tcPr>
            <w:tcW w:w="760" w:type="dxa"/>
            <w:vAlign w:val="bottom"/>
            <w:tcBorders>
              <w:bottom w:val="single" w:sz="8" w:color="C0C0C0"/>
            </w:tcBorders>
            <w:gridSpan w:val="3"/>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0C0C0"/>
            </w:tcBorders>
            <w:shd w:val="clear" w:color="auto" w:fill="C0C0C0"/>
          </w:tcPr>
          <w:p>
            <w:pPr>
              <w:spacing w:after="0"/>
              <w:rPr>
                <w:sz w:val="19"/>
                <w:szCs w:val="19"/>
                <w:color w:val="auto"/>
              </w:rPr>
            </w:pPr>
          </w:p>
        </w:tc>
        <w:tc>
          <w:tcPr>
            <w:tcW w:w="140" w:type="dxa"/>
            <w:vAlign w:val="bottom"/>
            <w:tcBorders>
              <w:bottom w:val="single" w:sz="8" w:color="C0C0C0"/>
            </w:tcBorders>
            <w:shd w:val="clear" w:color="auto" w:fill="C0C0C0"/>
          </w:tcPr>
          <w:p>
            <w:pPr>
              <w:spacing w:after="0"/>
              <w:rPr>
                <w:sz w:val="19"/>
                <w:szCs w:val="19"/>
                <w:color w:val="auto"/>
              </w:rPr>
            </w:pPr>
          </w:p>
        </w:tc>
        <w:tc>
          <w:tcPr>
            <w:tcW w:w="360" w:type="dxa"/>
            <w:vAlign w:val="bottom"/>
            <w:tcBorders>
              <w:bottom w:val="single" w:sz="8" w:color="C0C0C0"/>
            </w:tcBorders>
            <w:gridSpan w:val="2"/>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0C0C0"/>
            </w:tcBorders>
            <w:shd w:val="clear" w:color="auto" w:fill="C0C0C0"/>
          </w:tcPr>
          <w:p>
            <w:pPr>
              <w:spacing w:after="0"/>
              <w:rPr>
                <w:sz w:val="19"/>
                <w:szCs w:val="19"/>
                <w:color w:val="auto"/>
              </w:rPr>
            </w:pPr>
          </w:p>
        </w:tc>
        <w:tc>
          <w:tcPr>
            <w:tcW w:w="100" w:type="dxa"/>
            <w:vAlign w:val="bottom"/>
            <w:tcBorders>
              <w:bottom w:val="single" w:sz="8" w:color="C0C0C0"/>
            </w:tcBorders>
            <w:shd w:val="clear" w:color="auto" w:fill="C0C0C0"/>
          </w:tcPr>
          <w:p>
            <w:pPr>
              <w:spacing w:after="0"/>
              <w:rPr>
                <w:sz w:val="19"/>
                <w:szCs w:val="19"/>
                <w:color w:val="auto"/>
              </w:rPr>
            </w:pPr>
          </w:p>
        </w:tc>
        <w:tc>
          <w:tcPr>
            <w:tcW w:w="100" w:type="dxa"/>
            <w:vAlign w:val="bottom"/>
            <w:tcBorders>
              <w:bottom w:val="single" w:sz="8" w:color="C0C0C0"/>
            </w:tcBorders>
            <w:shd w:val="clear" w:color="auto" w:fill="C0C0C0"/>
          </w:tcPr>
          <w:p>
            <w:pPr>
              <w:spacing w:after="0"/>
              <w:rPr>
                <w:sz w:val="19"/>
                <w:szCs w:val="19"/>
                <w:color w:val="auto"/>
              </w:rPr>
            </w:pPr>
          </w:p>
        </w:tc>
        <w:tc>
          <w:tcPr>
            <w:tcW w:w="100" w:type="dxa"/>
            <w:vAlign w:val="bottom"/>
            <w:tcBorders>
              <w:bottom w:val="single" w:sz="8" w:color="C0C0C0"/>
            </w:tcBorders>
            <w:shd w:val="clear" w:color="auto" w:fill="C0C0C0"/>
          </w:tcPr>
          <w:p>
            <w:pPr>
              <w:spacing w:after="0"/>
              <w:rPr>
                <w:sz w:val="19"/>
                <w:szCs w:val="19"/>
                <w:color w:val="auto"/>
              </w:rPr>
            </w:pPr>
          </w:p>
        </w:tc>
        <w:tc>
          <w:tcPr>
            <w:tcW w:w="600" w:type="dxa"/>
            <w:vAlign w:val="bottom"/>
            <w:tcBorders>
              <w:bottom w:val="single" w:sz="8" w:color="C0C0C0"/>
            </w:tcBorders>
            <w:gridSpan w:val="2"/>
            <w:shd w:val="clear" w:color="auto" w:fill="C0C0C0"/>
          </w:tcPr>
          <w:p>
            <w:pPr>
              <w:jc w:val="right"/>
              <w:ind w:right="132"/>
              <w:spacing w:after="0"/>
              <w:rPr>
                <w:sz w:val="20"/>
                <w:szCs w:val="20"/>
                <w:color w:val="auto"/>
              </w:rPr>
            </w:pPr>
            <w:r>
              <w:rPr>
                <w:rFonts w:ascii="Arial" w:cs="Arial" w:eastAsia="Arial" w:hAnsi="Arial"/>
                <w:sz w:val="14"/>
                <w:szCs w:val="14"/>
                <w:color w:val="auto"/>
              </w:rPr>
              <w:t>-</w:t>
            </w:r>
          </w:p>
        </w:tc>
        <w:tc>
          <w:tcPr>
            <w:tcW w:w="100" w:type="dxa"/>
            <w:vAlign w:val="bottom"/>
            <w:tcBorders>
              <w:left w:val="single" w:sz="8" w:color="C0C0C0"/>
              <w:bottom w:val="single" w:sz="8" w:color="C0C0C0"/>
            </w:tcBorders>
            <w:shd w:val="clear" w:color="auto" w:fill="C0C0C0"/>
          </w:tcPr>
          <w:p>
            <w:pPr>
              <w:spacing w:after="0"/>
              <w:rPr>
                <w:sz w:val="19"/>
                <w:szCs w:val="19"/>
                <w:color w:val="auto"/>
              </w:rPr>
            </w:pPr>
          </w:p>
        </w:tc>
        <w:tc>
          <w:tcPr>
            <w:tcW w:w="120" w:type="dxa"/>
            <w:vAlign w:val="bottom"/>
            <w:tcBorders>
              <w:bottom w:val="single" w:sz="8" w:color="C0C0C0"/>
            </w:tcBorders>
            <w:shd w:val="clear" w:color="auto" w:fill="C0C0C0"/>
          </w:tcPr>
          <w:p>
            <w:pPr>
              <w:spacing w:after="0"/>
              <w:rPr>
                <w:sz w:val="19"/>
                <w:szCs w:val="19"/>
                <w:color w:val="auto"/>
              </w:rPr>
            </w:pPr>
          </w:p>
        </w:tc>
        <w:tc>
          <w:tcPr>
            <w:tcW w:w="80" w:type="dxa"/>
            <w:vAlign w:val="bottom"/>
            <w:tcBorders>
              <w:bottom w:val="single" w:sz="8" w:color="C0C0C0"/>
            </w:tcBorders>
            <w:shd w:val="clear" w:color="auto" w:fill="C0C0C0"/>
          </w:tcPr>
          <w:p>
            <w:pPr>
              <w:spacing w:after="0"/>
              <w:rPr>
                <w:sz w:val="19"/>
                <w:szCs w:val="19"/>
                <w:color w:val="auto"/>
              </w:rPr>
            </w:pPr>
          </w:p>
        </w:tc>
        <w:tc>
          <w:tcPr>
            <w:tcW w:w="50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213</w:t>
            </w:r>
          </w:p>
        </w:tc>
        <w:tc>
          <w:tcPr>
            <w:tcW w:w="80" w:type="dxa"/>
            <w:vAlign w:val="bottom"/>
            <w:tcBorders>
              <w:bottom w:val="single" w:sz="8" w:color="C0C0C0"/>
            </w:tcBorders>
            <w:shd w:val="clear" w:color="auto" w:fill="C0C0C0"/>
          </w:tcPr>
          <w:p>
            <w:pPr>
              <w:spacing w:after="0"/>
              <w:rPr>
                <w:sz w:val="19"/>
                <w:szCs w:val="19"/>
                <w:color w:val="auto"/>
              </w:rPr>
            </w:pPr>
          </w:p>
        </w:tc>
        <w:tc>
          <w:tcPr>
            <w:tcW w:w="140" w:type="dxa"/>
            <w:vAlign w:val="bottom"/>
            <w:tcBorders>
              <w:bottom w:val="single" w:sz="8" w:color="C0C0C0"/>
            </w:tcBorders>
            <w:shd w:val="clear" w:color="auto" w:fill="C0C0C0"/>
          </w:tcPr>
          <w:p>
            <w:pPr>
              <w:spacing w:after="0"/>
              <w:rPr>
                <w:sz w:val="19"/>
                <w:szCs w:val="19"/>
                <w:color w:val="auto"/>
              </w:rPr>
            </w:pPr>
          </w:p>
        </w:tc>
        <w:tc>
          <w:tcPr>
            <w:tcW w:w="80" w:type="dxa"/>
            <w:vAlign w:val="bottom"/>
            <w:tcBorders>
              <w:bottom w:val="single" w:sz="8" w:color="C0C0C0"/>
            </w:tcBorders>
            <w:shd w:val="clear" w:color="auto" w:fill="C0C0C0"/>
          </w:tcPr>
          <w:p>
            <w:pPr>
              <w:spacing w:after="0"/>
              <w:rPr>
                <w:sz w:val="19"/>
                <w:szCs w:val="19"/>
                <w:color w:val="auto"/>
              </w:rPr>
            </w:pPr>
          </w:p>
        </w:tc>
        <w:tc>
          <w:tcPr>
            <w:tcW w:w="80" w:type="dxa"/>
            <w:vAlign w:val="bottom"/>
            <w:tcBorders>
              <w:bottom w:val="single" w:sz="8" w:color="C0C0C0"/>
            </w:tcBorders>
            <w:shd w:val="clear" w:color="auto" w:fill="C0C0C0"/>
          </w:tcPr>
          <w:p>
            <w:pPr>
              <w:spacing w:after="0"/>
              <w:rPr>
                <w:sz w:val="19"/>
                <w:szCs w:val="19"/>
                <w:color w:val="auto"/>
              </w:rPr>
            </w:pPr>
          </w:p>
        </w:tc>
        <w:tc>
          <w:tcPr>
            <w:tcW w:w="560" w:type="dxa"/>
            <w:vAlign w:val="bottom"/>
            <w:tcBorders>
              <w:bottom w:val="single" w:sz="8" w:color="C0C0C0"/>
            </w:tcBorders>
            <w:shd w:val="clear" w:color="auto" w:fill="C0C0C0"/>
          </w:tcPr>
          <w:p>
            <w:pPr>
              <w:jc w:val="right"/>
              <w:ind w:right="3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0C0C0"/>
            </w:tcBorders>
            <w:shd w:val="clear" w:color="auto" w:fill="C0C0C0"/>
          </w:tcPr>
          <w:p>
            <w:pPr>
              <w:spacing w:after="0"/>
              <w:rPr>
                <w:sz w:val="19"/>
                <w:szCs w:val="19"/>
                <w:color w:val="auto"/>
              </w:rPr>
            </w:pPr>
          </w:p>
        </w:tc>
        <w:tc>
          <w:tcPr>
            <w:tcW w:w="120" w:type="dxa"/>
            <w:vAlign w:val="bottom"/>
            <w:tcBorders>
              <w:bottom w:val="single" w:sz="8" w:color="C0C0C0"/>
            </w:tcBorders>
            <w:shd w:val="clear" w:color="auto" w:fill="C0C0C0"/>
          </w:tcPr>
          <w:p>
            <w:pPr>
              <w:spacing w:after="0"/>
              <w:rPr>
                <w:sz w:val="19"/>
                <w:szCs w:val="19"/>
                <w:color w:val="auto"/>
              </w:rPr>
            </w:pPr>
          </w:p>
        </w:tc>
        <w:tc>
          <w:tcPr>
            <w:tcW w:w="140" w:type="dxa"/>
            <w:vAlign w:val="bottom"/>
            <w:tcBorders>
              <w:bottom w:val="single" w:sz="8" w:color="C0C0C0"/>
            </w:tcBorders>
            <w:shd w:val="clear" w:color="auto" w:fill="C0C0C0"/>
          </w:tcPr>
          <w:p>
            <w:pPr>
              <w:spacing w:after="0"/>
              <w:rPr>
                <w:sz w:val="19"/>
                <w:szCs w:val="19"/>
                <w:color w:val="auto"/>
              </w:rPr>
            </w:pPr>
          </w:p>
        </w:tc>
        <w:tc>
          <w:tcPr>
            <w:tcW w:w="660" w:type="dxa"/>
            <w:vAlign w:val="bottom"/>
            <w:tcBorders>
              <w:bottom w:val="single" w:sz="8" w:color="C0C0C0"/>
            </w:tcBorders>
            <w:gridSpan w:val="2"/>
            <w:shd w:val="clear" w:color="auto" w:fill="C0C0C0"/>
          </w:tcPr>
          <w:p>
            <w:pPr>
              <w:jc w:val="right"/>
              <w:ind w:right="100"/>
              <w:spacing w:after="0"/>
              <w:rPr>
                <w:sz w:val="20"/>
                <w:szCs w:val="20"/>
                <w:color w:val="auto"/>
              </w:rPr>
            </w:pPr>
            <w:r>
              <w:rPr>
                <w:rFonts w:ascii="Arial" w:cs="Arial" w:eastAsia="Arial" w:hAnsi="Arial"/>
                <w:sz w:val="14"/>
                <w:szCs w:val="14"/>
                <w:color w:val="auto"/>
              </w:rPr>
              <w:t>213</w:t>
            </w:r>
          </w:p>
        </w:tc>
        <w:tc>
          <w:tcPr>
            <w:tcW w:w="120" w:type="dxa"/>
            <w:vAlign w:val="bottom"/>
            <w:tcBorders>
              <w:bottom w:val="single" w:sz="8" w:color="C0C0C0"/>
            </w:tcBorders>
            <w:shd w:val="clear" w:color="auto" w:fill="C0C0C0"/>
          </w:tcPr>
          <w:p>
            <w:pPr>
              <w:spacing w:after="0"/>
              <w:rPr>
                <w:sz w:val="19"/>
                <w:szCs w:val="19"/>
                <w:color w:val="auto"/>
              </w:rPr>
            </w:pPr>
          </w:p>
        </w:tc>
        <w:tc>
          <w:tcPr>
            <w:tcW w:w="80" w:type="dxa"/>
            <w:vAlign w:val="bottom"/>
            <w:tcBorders>
              <w:bottom w:val="single" w:sz="8" w:color="C0C0C0"/>
            </w:tcBorders>
            <w:shd w:val="clear" w:color="auto" w:fill="C0C0C0"/>
          </w:tcPr>
          <w:p>
            <w:pPr>
              <w:spacing w:after="0"/>
              <w:rPr>
                <w:sz w:val="19"/>
                <w:szCs w:val="19"/>
                <w:color w:val="auto"/>
              </w:rPr>
            </w:pPr>
          </w:p>
        </w:tc>
        <w:tc>
          <w:tcPr>
            <w:tcW w:w="60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195</w:t>
            </w:r>
          </w:p>
        </w:tc>
        <w:tc>
          <w:tcPr>
            <w:tcW w:w="220" w:type="dxa"/>
            <w:vAlign w:val="bottom"/>
            <w:tcBorders>
              <w:bottom w:val="single" w:sz="8" w:color="C0C0C0"/>
            </w:tcBorders>
            <w:shd w:val="clear" w:color="auto" w:fill="C0C0C0"/>
          </w:tcPr>
          <w:p>
            <w:pPr>
              <w:spacing w:after="0"/>
              <w:rPr>
                <w:sz w:val="19"/>
                <w:szCs w:val="19"/>
                <w:color w:val="auto"/>
              </w:rPr>
            </w:pPr>
          </w:p>
        </w:tc>
        <w:tc>
          <w:tcPr>
            <w:tcW w:w="120" w:type="dxa"/>
            <w:vAlign w:val="bottom"/>
            <w:tcBorders>
              <w:bottom w:val="single" w:sz="8" w:color="C0C0C0"/>
            </w:tcBorders>
            <w:shd w:val="clear" w:color="auto" w:fill="C0C0C0"/>
          </w:tcPr>
          <w:p>
            <w:pPr>
              <w:spacing w:after="0"/>
              <w:rPr>
                <w:sz w:val="19"/>
                <w:szCs w:val="19"/>
                <w:color w:val="auto"/>
              </w:rPr>
            </w:pPr>
          </w:p>
        </w:tc>
        <w:tc>
          <w:tcPr>
            <w:tcW w:w="58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408</w:t>
            </w:r>
          </w:p>
        </w:tc>
      </w:tr>
      <w:tr>
        <w:trPr>
          <w:trHeight w:val="202"/>
        </w:trPr>
        <w:tc>
          <w:tcPr>
            <w:tcW w:w="4360" w:type="dxa"/>
            <w:vAlign w:val="bottom"/>
          </w:tcPr>
          <w:p>
            <w:pPr>
              <w:ind w:left="240"/>
              <w:spacing w:after="0"/>
              <w:rPr>
                <w:sz w:val="20"/>
                <w:szCs w:val="20"/>
                <w:color w:val="auto"/>
              </w:rPr>
            </w:pPr>
            <w:r>
              <w:rPr>
                <w:rFonts w:ascii="Arial" w:cs="Arial" w:eastAsia="Arial" w:hAnsi="Arial"/>
                <w:sz w:val="14"/>
                <w:szCs w:val="14"/>
                <w:color w:val="auto"/>
              </w:rPr>
              <w:t>Amortization of cash flow hedges</w:t>
            </w:r>
          </w:p>
        </w:tc>
        <w:tc>
          <w:tcPr>
            <w:tcW w:w="76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2"/>
          </w:tcPr>
          <w:p>
            <w:pPr>
              <w:jc w:val="right"/>
              <w:ind w:right="13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jc w:val="right"/>
              <w:ind w:right="32"/>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32</w:t>
            </w:r>
          </w:p>
        </w:tc>
      </w:tr>
      <w:tr>
        <w:trPr>
          <w:trHeight w:val="41"/>
        </w:trPr>
        <w:tc>
          <w:tcPr>
            <w:tcW w:w="4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r>
      <w:tr>
        <w:trPr>
          <w:trHeight w:val="202"/>
        </w:trPr>
        <w:tc>
          <w:tcPr>
            <w:tcW w:w="4360" w:type="dxa"/>
            <w:vAlign w:val="bottom"/>
            <w:shd w:val="clear" w:color="auto" w:fill="C0C0C0"/>
          </w:tcPr>
          <w:p>
            <w:pPr>
              <w:ind w:left="240"/>
              <w:spacing w:after="0"/>
              <w:rPr>
                <w:sz w:val="20"/>
                <w:szCs w:val="20"/>
                <w:color w:val="auto"/>
              </w:rPr>
            </w:pPr>
            <w:r>
              <w:rPr>
                <w:rFonts w:ascii="Arial" w:cs="Arial" w:eastAsia="Arial" w:hAnsi="Arial"/>
                <w:sz w:val="14"/>
                <w:szCs w:val="14"/>
                <w:color w:val="auto"/>
              </w:rPr>
              <w:t>Foreign currency translation</w:t>
            </w:r>
          </w:p>
        </w:tc>
        <w:tc>
          <w:tcPr>
            <w:tcW w:w="220" w:type="dxa"/>
            <w:vAlign w:val="bottom"/>
            <w:shd w:val="clear" w:color="auto" w:fill="C0C0C0"/>
          </w:tcPr>
          <w:p>
            <w:pPr>
              <w:spacing w:after="0"/>
              <w:rPr>
                <w:sz w:val="17"/>
                <w:szCs w:val="17"/>
                <w:color w:val="auto"/>
              </w:rPr>
            </w:pPr>
          </w:p>
        </w:tc>
        <w:tc>
          <w:tcPr>
            <w:tcW w:w="34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80" w:type="dxa"/>
            <w:vAlign w:val="bottom"/>
            <w:shd w:val="clear" w:color="auto" w:fill="C0C0C0"/>
          </w:tcPr>
          <w:p>
            <w:pPr>
              <w:spacing w:after="0"/>
              <w:rPr>
                <w:sz w:val="17"/>
                <w:szCs w:val="17"/>
                <w:color w:val="auto"/>
              </w:rPr>
            </w:pPr>
          </w:p>
        </w:tc>
        <w:tc>
          <w:tcPr>
            <w:tcW w:w="28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40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100" w:type="dxa"/>
            <w:vAlign w:val="bottom"/>
            <w:tcBorders>
              <w:left w:val="single" w:sz="8" w:color="C0C0C0"/>
            </w:tcBorders>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80" w:type="dxa"/>
            <w:vAlign w:val="bottom"/>
            <w:shd w:val="clear" w:color="auto" w:fill="C0C0C0"/>
          </w:tcPr>
          <w:p>
            <w:pPr>
              <w:spacing w:after="0"/>
              <w:rPr>
                <w:sz w:val="17"/>
                <w:szCs w:val="17"/>
                <w:color w:val="auto"/>
              </w:rPr>
            </w:pPr>
          </w:p>
        </w:tc>
        <w:tc>
          <w:tcPr>
            <w:tcW w:w="500" w:type="dxa"/>
            <w:vAlign w:val="bottom"/>
            <w:shd w:val="clear" w:color="auto" w:fill="C0C0C0"/>
          </w:tcPr>
          <w:p>
            <w:pPr>
              <w:spacing w:after="0"/>
              <w:rPr>
                <w:sz w:val="17"/>
                <w:szCs w:val="17"/>
                <w:color w:val="auto"/>
              </w:rPr>
            </w:pPr>
          </w:p>
        </w:tc>
        <w:tc>
          <w:tcPr>
            <w:tcW w:w="8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80" w:type="dxa"/>
            <w:vAlign w:val="bottom"/>
            <w:shd w:val="clear" w:color="auto" w:fill="C0C0C0"/>
          </w:tcPr>
          <w:p>
            <w:pPr>
              <w:spacing w:after="0"/>
              <w:rPr>
                <w:sz w:val="17"/>
                <w:szCs w:val="17"/>
                <w:color w:val="auto"/>
              </w:rPr>
            </w:pPr>
          </w:p>
        </w:tc>
        <w:tc>
          <w:tcPr>
            <w:tcW w:w="80" w:type="dxa"/>
            <w:vAlign w:val="bottom"/>
            <w:shd w:val="clear" w:color="auto" w:fill="C0C0C0"/>
          </w:tcPr>
          <w:p>
            <w:pPr>
              <w:spacing w:after="0"/>
              <w:rPr>
                <w:sz w:val="17"/>
                <w:szCs w:val="17"/>
                <w:color w:val="auto"/>
              </w:rPr>
            </w:pPr>
          </w:p>
        </w:tc>
        <w:tc>
          <w:tcPr>
            <w:tcW w:w="56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56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80" w:type="dxa"/>
            <w:vAlign w:val="bottom"/>
            <w:shd w:val="clear" w:color="auto" w:fill="C0C0C0"/>
          </w:tcPr>
          <w:p>
            <w:pPr>
              <w:spacing w:after="0"/>
              <w:rPr>
                <w:sz w:val="17"/>
                <w:szCs w:val="17"/>
                <w:color w:val="auto"/>
              </w:rPr>
            </w:pPr>
          </w:p>
        </w:tc>
        <w:tc>
          <w:tcPr>
            <w:tcW w:w="60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580" w:type="dxa"/>
            <w:vAlign w:val="bottom"/>
            <w:shd w:val="clear" w:color="auto" w:fill="C0C0C0"/>
          </w:tcPr>
          <w:p>
            <w:pPr>
              <w:spacing w:after="0"/>
              <w:rPr>
                <w:sz w:val="17"/>
                <w:szCs w:val="17"/>
                <w:color w:val="auto"/>
              </w:rPr>
            </w:pPr>
          </w:p>
        </w:tc>
      </w:tr>
      <w:tr>
        <w:trPr>
          <w:trHeight w:val="284"/>
        </w:trPr>
        <w:tc>
          <w:tcPr>
            <w:tcW w:w="4360" w:type="dxa"/>
            <w:vAlign w:val="bottom"/>
            <w:tcBorders>
              <w:bottom w:val="single" w:sz="8" w:color="C0C0C0"/>
            </w:tcBorders>
            <w:shd w:val="clear" w:color="auto" w:fill="C0C0C0"/>
          </w:tcPr>
          <w:p>
            <w:pPr>
              <w:ind w:left="480"/>
              <w:spacing w:after="0"/>
              <w:rPr>
                <w:sz w:val="20"/>
                <w:szCs w:val="20"/>
                <w:color w:val="auto"/>
              </w:rPr>
            </w:pPr>
            <w:r>
              <w:rPr>
                <w:rFonts w:ascii="Arial" w:cs="Arial" w:eastAsia="Arial" w:hAnsi="Arial"/>
                <w:sz w:val="14"/>
                <w:szCs w:val="14"/>
                <w:color w:val="auto"/>
              </w:rPr>
              <w:t>adjustments</w:t>
            </w:r>
          </w:p>
        </w:tc>
        <w:tc>
          <w:tcPr>
            <w:tcW w:w="760" w:type="dxa"/>
            <w:vAlign w:val="bottom"/>
            <w:tcBorders>
              <w:bottom w:val="single" w:sz="8" w:color="C0C0C0"/>
            </w:tcBorders>
            <w:gridSpan w:val="3"/>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0C0C0"/>
            </w:tcBorders>
            <w:shd w:val="clear" w:color="auto" w:fill="C0C0C0"/>
          </w:tcPr>
          <w:p>
            <w:pPr>
              <w:spacing w:after="0"/>
              <w:rPr>
                <w:sz w:val="24"/>
                <w:szCs w:val="24"/>
                <w:color w:val="auto"/>
              </w:rPr>
            </w:pPr>
          </w:p>
        </w:tc>
        <w:tc>
          <w:tcPr>
            <w:tcW w:w="140" w:type="dxa"/>
            <w:vAlign w:val="bottom"/>
            <w:tcBorders>
              <w:bottom w:val="single" w:sz="8" w:color="C0C0C0"/>
            </w:tcBorders>
            <w:shd w:val="clear" w:color="auto" w:fill="C0C0C0"/>
          </w:tcPr>
          <w:p>
            <w:pPr>
              <w:spacing w:after="0"/>
              <w:rPr>
                <w:sz w:val="24"/>
                <w:szCs w:val="24"/>
                <w:color w:val="auto"/>
              </w:rPr>
            </w:pPr>
          </w:p>
        </w:tc>
        <w:tc>
          <w:tcPr>
            <w:tcW w:w="360" w:type="dxa"/>
            <w:vAlign w:val="bottom"/>
            <w:tcBorders>
              <w:bottom w:val="single" w:sz="8" w:color="C0C0C0"/>
            </w:tcBorders>
            <w:gridSpan w:val="2"/>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0C0C0"/>
            </w:tcBorders>
            <w:shd w:val="clear" w:color="auto" w:fill="C0C0C0"/>
          </w:tcPr>
          <w:p>
            <w:pPr>
              <w:spacing w:after="0"/>
              <w:rPr>
                <w:sz w:val="24"/>
                <w:szCs w:val="24"/>
                <w:color w:val="auto"/>
              </w:rPr>
            </w:pPr>
          </w:p>
        </w:tc>
        <w:tc>
          <w:tcPr>
            <w:tcW w:w="100" w:type="dxa"/>
            <w:vAlign w:val="bottom"/>
            <w:tcBorders>
              <w:bottom w:val="single" w:sz="8" w:color="C0C0C0"/>
            </w:tcBorders>
            <w:shd w:val="clear" w:color="auto" w:fill="C0C0C0"/>
          </w:tcPr>
          <w:p>
            <w:pPr>
              <w:spacing w:after="0"/>
              <w:rPr>
                <w:sz w:val="24"/>
                <w:szCs w:val="24"/>
                <w:color w:val="auto"/>
              </w:rPr>
            </w:pPr>
          </w:p>
        </w:tc>
        <w:tc>
          <w:tcPr>
            <w:tcW w:w="100" w:type="dxa"/>
            <w:vAlign w:val="bottom"/>
            <w:tcBorders>
              <w:bottom w:val="single" w:sz="8" w:color="C0C0C0"/>
            </w:tcBorders>
            <w:shd w:val="clear" w:color="auto" w:fill="C0C0C0"/>
          </w:tcPr>
          <w:p>
            <w:pPr>
              <w:spacing w:after="0"/>
              <w:rPr>
                <w:sz w:val="24"/>
                <w:szCs w:val="24"/>
                <w:color w:val="auto"/>
              </w:rPr>
            </w:pPr>
          </w:p>
        </w:tc>
        <w:tc>
          <w:tcPr>
            <w:tcW w:w="100" w:type="dxa"/>
            <w:vAlign w:val="bottom"/>
            <w:tcBorders>
              <w:bottom w:val="single" w:sz="8" w:color="C0C0C0"/>
            </w:tcBorders>
            <w:shd w:val="clear" w:color="auto" w:fill="C0C0C0"/>
          </w:tcPr>
          <w:p>
            <w:pPr>
              <w:spacing w:after="0"/>
              <w:rPr>
                <w:sz w:val="24"/>
                <w:szCs w:val="24"/>
                <w:color w:val="auto"/>
              </w:rPr>
            </w:pPr>
          </w:p>
        </w:tc>
        <w:tc>
          <w:tcPr>
            <w:tcW w:w="600" w:type="dxa"/>
            <w:vAlign w:val="bottom"/>
            <w:tcBorders>
              <w:bottom w:val="single" w:sz="8" w:color="C0C0C0"/>
            </w:tcBorders>
            <w:gridSpan w:val="2"/>
            <w:shd w:val="clear" w:color="auto" w:fill="C0C0C0"/>
          </w:tcPr>
          <w:p>
            <w:pPr>
              <w:jc w:val="right"/>
              <w:ind w:right="132"/>
              <w:spacing w:after="0"/>
              <w:rPr>
                <w:sz w:val="20"/>
                <w:szCs w:val="20"/>
                <w:color w:val="auto"/>
              </w:rPr>
            </w:pPr>
            <w:r>
              <w:rPr>
                <w:rFonts w:ascii="Arial" w:cs="Arial" w:eastAsia="Arial" w:hAnsi="Arial"/>
                <w:sz w:val="14"/>
                <w:szCs w:val="14"/>
                <w:color w:val="auto"/>
              </w:rPr>
              <w:t>-</w:t>
            </w:r>
          </w:p>
        </w:tc>
        <w:tc>
          <w:tcPr>
            <w:tcW w:w="100" w:type="dxa"/>
            <w:vAlign w:val="bottom"/>
            <w:tcBorders>
              <w:left w:val="single" w:sz="8" w:color="C0C0C0"/>
              <w:bottom w:val="single" w:sz="8" w:color="C0C0C0"/>
            </w:tcBorders>
            <w:shd w:val="clear" w:color="auto" w:fill="C0C0C0"/>
          </w:tcPr>
          <w:p>
            <w:pPr>
              <w:spacing w:after="0"/>
              <w:rPr>
                <w:sz w:val="24"/>
                <w:szCs w:val="24"/>
                <w:color w:val="auto"/>
              </w:rPr>
            </w:pPr>
          </w:p>
        </w:tc>
        <w:tc>
          <w:tcPr>
            <w:tcW w:w="120" w:type="dxa"/>
            <w:vAlign w:val="bottom"/>
            <w:tcBorders>
              <w:bottom w:val="single" w:sz="8" w:color="C0C0C0"/>
            </w:tcBorders>
            <w:shd w:val="clear" w:color="auto" w:fill="C0C0C0"/>
          </w:tcPr>
          <w:p>
            <w:pPr>
              <w:spacing w:after="0"/>
              <w:rPr>
                <w:sz w:val="24"/>
                <w:szCs w:val="24"/>
                <w:color w:val="auto"/>
              </w:rPr>
            </w:pPr>
          </w:p>
        </w:tc>
        <w:tc>
          <w:tcPr>
            <w:tcW w:w="80" w:type="dxa"/>
            <w:vAlign w:val="bottom"/>
            <w:tcBorders>
              <w:bottom w:val="single" w:sz="8" w:color="C0C0C0"/>
            </w:tcBorders>
            <w:shd w:val="clear" w:color="auto" w:fill="C0C0C0"/>
          </w:tcPr>
          <w:p>
            <w:pPr>
              <w:spacing w:after="0"/>
              <w:rPr>
                <w:sz w:val="24"/>
                <w:szCs w:val="24"/>
                <w:color w:val="auto"/>
              </w:rPr>
            </w:pPr>
          </w:p>
        </w:tc>
        <w:tc>
          <w:tcPr>
            <w:tcW w:w="50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0C0C0"/>
            </w:tcBorders>
            <w:shd w:val="clear" w:color="auto" w:fill="C0C0C0"/>
          </w:tcPr>
          <w:p>
            <w:pPr>
              <w:spacing w:after="0"/>
              <w:rPr>
                <w:sz w:val="24"/>
                <w:szCs w:val="24"/>
                <w:color w:val="auto"/>
              </w:rPr>
            </w:pPr>
          </w:p>
        </w:tc>
        <w:tc>
          <w:tcPr>
            <w:tcW w:w="140" w:type="dxa"/>
            <w:vAlign w:val="bottom"/>
            <w:tcBorders>
              <w:bottom w:val="single" w:sz="8" w:color="C0C0C0"/>
            </w:tcBorders>
            <w:shd w:val="clear" w:color="auto" w:fill="C0C0C0"/>
          </w:tcPr>
          <w:p>
            <w:pPr>
              <w:spacing w:after="0"/>
              <w:rPr>
                <w:sz w:val="24"/>
                <w:szCs w:val="24"/>
                <w:color w:val="auto"/>
              </w:rPr>
            </w:pPr>
          </w:p>
        </w:tc>
        <w:tc>
          <w:tcPr>
            <w:tcW w:w="80" w:type="dxa"/>
            <w:vAlign w:val="bottom"/>
            <w:tcBorders>
              <w:bottom w:val="single" w:sz="8" w:color="C0C0C0"/>
            </w:tcBorders>
            <w:shd w:val="clear" w:color="auto" w:fill="C0C0C0"/>
          </w:tcPr>
          <w:p>
            <w:pPr>
              <w:spacing w:after="0"/>
              <w:rPr>
                <w:sz w:val="24"/>
                <w:szCs w:val="24"/>
                <w:color w:val="auto"/>
              </w:rPr>
            </w:pPr>
          </w:p>
        </w:tc>
        <w:tc>
          <w:tcPr>
            <w:tcW w:w="80" w:type="dxa"/>
            <w:vAlign w:val="bottom"/>
            <w:tcBorders>
              <w:bottom w:val="single" w:sz="8" w:color="C0C0C0"/>
            </w:tcBorders>
            <w:shd w:val="clear" w:color="auto" w:fill="C0C0C0"/>
          </w:tcPr>
          <w:p>
            <w:pPr>
              <w:spacing w:after="0"/>
              <w:rPr>
                <w:sz w:val="24"/>
                <w:szCs w:val="24"/>
                <w:color w:val="auto"/>
              </w:rPr>
            </w:pPr>
          </w:p>
        </w:tc>
        <w:tc>
          <w:tcPr>
            <w:tcW w:w="560" w:type="dxa"/>
            <w:vAlign w:val="bottom"/>
            <w:tcBorders>
              <w:bottom w:val="single" w:sz="8" w:color="C0C0C0"/>
            </w:tcBorders>
            <w:shd w:val="clear" w:color="auto" w:fill="C0C0C0"/>
          </w:tcPr>
          <w:p>
            <w:pPr>
              <w:jc w:val="right"/>
              <w:ind w:right="32"/>
              <w:spacing w:after="0"/>
              <w:rPr>
                <w:sz w:val="20"/>
                <w:szCs w:val="20"/>
                <w:color w:val="auto"/>
              </w:rPr>
            </w:pPr>
            <w:r>
              <w:rPr>
                <w:rFonts w:ascii="Arial" w:cs="Arial" w:eastAsia="Arial" w:hAnsi="Arial"/>
                <w:sz w:val="14"/>
                <w:szCs w:val="14"/>
                <w:color w:val="auto"/>
              </w:rPr>
              <w:t>5,913</w:t>
            </w:r>
          </w:p>
        </w:tc>
        <w:tc>
          <w:tcPr>
            <w:tcW w:w="100" w:type="dxa"/>
            <w:vAlign w:val="bottom"/>
            <w:tcBorders>
              <w:bottom w:val="single" w:sz="8" w:color="C0C0C0"/>
            </w:tcBorders>
            <w:shd w:val="clear" w:color="auto" w:fill="C0C0C0"/>
          </w:tcPr>
          <w:p>
            <w:pPr>
              <w:spacing w:after="0"/>
              <w:rPr>
                <w:sz w:val="24"/>
                <w:szCs w:val="24"/>
                <w:color w:val="auto"/>
              </w:rPr>
            </w:pPr>
          </w:p>
        </w:tc>
        <w:tc>
          <w:tcPr>
            <w:tcW w:w="120" w:type="dxa"/>
            <w:vAlign w:val="bottom"/>
            <w:tcBorders>
              <w:bottom w:val="single" w:sz="8" w:color="C0C0C0"/>
            </w:tcBorders>
            <w:shd w:val="clear" w:color="auto" w:fill="C0C0C0"/>
          </w:tcPr>
          <w:p>
            <w:pPr>
              <w:spacing w:after="0"/>
              <w:rPr>
                <w:sz w:val="24"/>
                <w:szCs w:val="24"/>
                <w:color w:val="auto"/>
              </w:rPr>
            </w:pPr>
          </w:p>
        </w:tc>
        <w:tc>
          <w:tcPr>
            <w:tcW w:w="140" w:type="dxa"/>
            <w:vAlign w:val="bottom"/>
            <w:tcBorders>
              <w:bottom w:val="single" w:sz="8" w:color="C0C0C0"/>
            </w:tcBorders>
            <w:shd w:val="clear" w:color="auto" w:fill="C0C0C0"/>
          </w:tcPr>
          <w:p>
            <w:pPr>
              <w:spacing w:after="0"/>
              <w:rPr>
                <w:sz w:val="24"/>
                <w:szCs w:val="24"/>
                <w:color w:val="auto"/>
              </w:rPr>
            </w:pPr>
          </w:p>
        </w:tc>
        <w:tc>
          <w:tcPr>
            <w:tcW w:w="660" w:type="dxa"/>
            <w:vAlign w:val="bottom"/>
            <w:tcBorders>
              <w:bottom w:val="single" w:sz="8" w:color="C0C0C0"/>
            </w:tcBorders>
            <w:gridSpan w:val="2"/>
            <w:shd w:val="clear" w:color="auto" w:fill="C0C0C0"/>
          </w:tcPr>
          <w:p>
            <w:pPr>
              <w:jc w:val="right"/>
              <w:ind w:right="100"/>
              <w:spacing w:after="0"/>
              <w:rPr>
                <w:sz w:val="20"/>
                <w:szCs w:val="20"/>
                <w:color w:val="auto"/>
              </w:rPr>
            </w:pPr>
            <w:r>
              <w:rPr>
                <w:rFonts w:ascii="Arial" w:cs="Arial" w:eastAsia="Arial" w:hAnsi="Arial"/>
                <w:sz w:val="14"/>
                <w:szCs w:val="14"/>
                <w:color w:val="auto"/>
              </w:rPr>
              <w:t>5,913</w:t>
            </w:r>
          </w:p>
        </w:tc>
        <w:tc>
          <w:tcPr>
            <w:tcW w:w="120" w:type="dxa"/>
            <w:vAlign w:val="bottom"/>
            <w:tcBorders>
              <w:bottom w:val="single" w:sz="8" w:color="C0C0C0"/>
            </w:tcBorders>
            <w:shd w:val="clear" w:color="auto" w:fill="C0C0C0"/>
          </w:tcPr>
          <w:p>
            <w:pPr>
              <w:spacing w:after="0"/>
              <w:rPr>
                <w:sz w:val="24"/>
                <w:szCs w:val="24"/>
                <w:color w:val="auto"/>
              </w:rPr>
            </w:pPr>
          </w:p>
        </w:tc>
        <w:tc>
          <w:tcPr>
            <w:tcW w:w="80" w:type="dxa"/>
            <w:vAlign w:val="bottom"/>
            <w:tcBorders>
              <w:bottom w:val="single" w:sz="8" w:color="C0C0C0"/>
            </w:tcBorders>
            <w:shd w:val="clear" w:color="auto" w:fill="C0C0C0"/>
          </w:tcPr>
          <w:p>
            <w:pPr>
              <w:spacing w:after="0"/>
              <w:rPr>
                <w:sz w:val="24"/>
                <w:szCs w:val="24"/>
                <w:color w:val="auto"/>
              </w:rPr>
            </w:pPr>
          </w:p>
        </w:tc>
        <w:tc>
          <w:tcPr>
            <w:tcW w:w="60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915</w:t>
            </w:r>
          </w:p>
        </w:tc>
        <w:tc>
          <w:tcPr>
            <w:tcW w:w="220" w:type="dxa"/>
            <w:vAlign w:val="bottom"/>
            <w:tcBorders>
              <w:bottom w:val="single" w:sz="8" w:color="C0C0C0"/>
            </w:tcBorders>
            <w:shd w:val="clear" w:color="auto" w:fill="C0C0C0"/>
          </w:tcPr>
          <w:p>
            <w:pPr>
              <w:spacing w:after="0"/>
              <w:rPr>
                <w:sz w:val="24"/>
                <w:szCs w:val="24"/>
                <w:color w:val="auto"/>
              </w:rPr>
            </w:pPr>
          </w:p>
        </w:tc>
        <w:tc>
          <w:tcPr>
            <w:tcW w:w="120" w:type="dxa"/>
            <w:vAlign w:val="bottom"/>
            <w:tcBorders>
              <w:bottom w:val="single" w:sz="8" w:color="C0C0C0"/>
            </w:tcBorders>
            <w:shd w:val="clear" w:color="auto" w:fill="C0C0C0"/>
          </w:tcPr>
          <w:p>
            <w:pPr>
              <w:spacing w:after="0"/>
              <w:rPr>
                <w:sz w:val="24"/>
                <w:szCs w:val="24"/>
                <w:color w:val="auto"/>
              </w:rPr>
            </w:pPr>
          </w:p>
        </w:tc>
        <w:tc>
          <w:tcPr>
            <w:tcW w:w="58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6,828</w:t>
            </w:r>
          </w:p>
        </w:tc>
      </w:tr>
      <w:tr>
        <w:trPr>
          <w:trHeight w:val="196"/>
        </w:trPr>
        <w:tc>
          <w:tcPr>
            <w:tcW w:w="4360" w:type="dxa"/>
            <w:vAlign w:val="bottom"/>
          </w:tcPr>
          <w:p>
            <w:pPr>
              <w:ind w:left="240"/>
              <w:spacing w:after="0"/>
              <w:rPr>
                <w:sz w:val="20"/>
                <w:szCs w:val="20"/>
                <w:color w:val="auto"/>
              </w:rPr>
            </w:pPr>
            <w:r>
              <w:rPr>
                <w:rFonts w:ascii="Arial" w:cs="Arial" w:eastAsia="Arial" w:hAnsi="Arial"/>
                <w:sz w:val="14"/>
                <w:szCs w:val="14"/>
                <w:color w:val="auto"/>
              </w:rPr>
              <w:t>Total comprehensive income</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6,158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1,110</w:t>
            </w: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7,268</w:t>
            </w:r>
          </w:p>
        </w:tc>
      </w:tr>
      <w:tr>
        <w:trPr>
          <w:trHeight w:val="41"/>
        </w:trPr>
        <w:tc>
          <w:tcPr>
            <w:tcW w:w="4360" w:type="dxa"/>
            <w:vAlign w:val="bottom"/>
            <w:tcBorders>
              <w:bottom w:val="single" w:sz="8" w:color="C0C0C0"/>
            </w:tcBorders>
          </w:tcPr>
          <w:p>
            <w:pPr>
              <w:spacing w:after="0"/>
              <w:rPr>
                <w:sz w:val="3"/>
                <w:szCs w:val="3"/>
                <w:color w:val="auto"/>
              </w:rPr>
            </w:pPr>
          </w:p>
        </w:tc>
        <w:tc>
          <w:tcPr>
            <w:tcW w:w="220" w:type="dxa"/>
            <w:vAlign w:val="bottom"/>
            <w:tcBorders>
              <w:bottom w:val="single" w:sz="8" w:color="C0C0C0"/>
            </w:tcBorders>
          </w:tcPr>
          <w:p>
            <w:pPr>
              <w:spacing w:after="0"/>
              <w:rPr>
                <w:sz w:val="3"/>
                <w:szCs w:val="3"/>
                <w:color w:val="auto"/>
              </w:rPr>
            </w:pPr>
          </w:p>
        </w:tc>
        <w:tc>
          <w:tcPr>
            <w:tcW w:w="340" w:type="dxa"/>
            <w:vAlign w:val="bottom"/>
            <w:tcBorders>
              <w:bottom w:val="single" w:sz="8" w:color="C0C0C0"/>
            </w:tcBorders>
          </w:tcPr>
          <w:p>
            <w:pPr>
              <w:spacing w:after="0"/>
              <w:rPr>
                <w:sz w:val="3"/>
                <w:szCs w:val="3"/>
                <w:color w:val="auto"/>
              </w:rPr>
            </w:pPr>
          </w:p>
        </w:tc>
        <w:tc>
          <w:tcPr>
            <w:tcW w:w="200" w:type="dxa"/>
            <w:vAlign w:val="bottom"/>
            <w:tcBorders>
              <w:bottom w:val="single" w:sz="8" w:color="C0C0C0"/>
            </w:tcBorders>
          </w:tcPr>
          <w:p>
            <w:pPr>
              <w:spacing w:after="0"/>
              <w:rPr>
                <w:sz w:val="3"/>
                <w:szCs w:val="3"/>
                <w:color w:val="auto"/>
              </w:rPr>
            </w:pPr>
          </w:p>
        </w:tc>
        <w:tc>
          <w:tcPr>
            <w:tcW w:w="200" w:type="dxa"/>
            <w:vAlign w:val="bottom"/>
            <w:tcBorders>
              <w:bottom w:val="single" w:sz="8" w:color="C0C0C0"/>
            </w:tcBorders>
          </w:tcPr>
          <w:p>
            <w:pPr>
              <w:spacing w:after="0"/>
              <w:rPr>
                <w:sz w:val="3"/>
                <w:szCs w:val="3"/>
                <w:color w:val="auto"/>
              </w:rPr>
            </w:pPr>
          </w:p>
        </w:tc>
        <w:tc>
          <w:tcPr>
            <w:tcW w:w="140" w:type="dxa"/>
            <w:vAlign w:val="bottom"/>
            <w:tcBorders>
              <w:bottom w:val="single" w:sz="8" w:color="C0C0C0"/>
            </w:tcBorders>
          </w:tcPr>
          <w:p>
            <w:pPr>
              <w:spacing w:after="0"/>
              <w:rPr>
                <w:sz w:val="3"/>
                <w:szCs w:val="3"/>
                <w:color w:val="auto"/>
              </w:rPr>
            </w:pPr>
          </w:p>
        </w:tc>
        <w:tc>
          <w:tcPr>
            <w:tcW w:w="80" w:type="dxa"/>
            <w:vAlign w:val="bottom"/>
            <w:tcBorders>
              <w:bottom w:val="single" w:sz="8" w:color="C0C0C0"/>
            </w:tcBorders>
          </w:tcPr>
          <w:p>
            <w:pPr>
              <w:spacing w:after="0"/>
              <w:rPr>
                <w:sz w:val="3"/>
                <w:szCs w:val="3"/>
                <w:color w:val="auto"/>
              </w:rPr>
            </w:pPr>
          </w:p>
        </w:tc>
        <w:tc>
          <w:tcPr>
            <w:tcW w:w="280" w:type="dxa"/>
            <w:vAlign w:val="bottom"/>
            <w:tcBorders>
              <w:bottom w:val="single" w:sz="8" w:color="C0C0C0"/>
            </w:tcBorders>
          </w:tcPr>
          <w:p>
            <w:pPr>
              <w:spacing w:after="0"/>
              <w:rPr>
                <w:sz w:val="3"/>
                <w:szCs w:val="3"/>
                <w:color w:val="auto"/>
              </w:rPr>
            </w:pPr>
          </w:p>
        </w:tc>
        <w:tc>
          <w:tcPr>
            <w:tcW w:w="220" w:type="dxa"/>
            <w:vAlign w:val="bottom"/>
            <w:tcBorders>
              <w:bottom w:val="single" w:sz="8" w:color="C0C0C0"/>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400" w:type="dxa"/>
            <w:vAlign w:val="bottom"/>
            <w:tcBorders>
              <w:bottom w:val="single" w:sz="8" w:color="C0C0C0"/>
            </w:tcBorders>
          </w:tcPr>
          <w:p>
            <w:pPr>
              <w:spacing w:after="0"/>
              <w:rPr>
                <w:sz w:val="3"/>
                <w:szCs w:val="3"/>
                <w:color w:val="auto"/>
              </w:rPr>
            </w:pPr>
          </w:p>
        </w:tc>
        <w:tc>
          <w:tcPr>
            <w:tcW w:w="200" w:type="dxa"/>
            <w:vAlign w:val="bottom"/>
            <w:tcBorders>
              <w:bottom w:val="single" w:sz="8" w:color="C0C0C0"/>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120" w:type="dxa"/>
            <w:vAlign w:val="bottom"/>
            <w:tcBorders>
              <w:bottom w:val="single" w:sz="8" w:color="C0C0C0"/>
            </w:tcBorders>
          </w:tcPr>
          <w:p>
            <w:pPr>
              <w:spacing w:after="0"/>
              <w:rPr>
                <w:sz w:val="3"/>
                <w:szCs w:val="3"/>
                <w:color w:val="auto"/>
              </w:rPr>
            </w:pPr>
          </w:p>
        </w:tc>
        <w:tc>
          <w:tcPr>
            <w:tcW w:w="80" w:type="dxa"/>
            <w:vAlign w:val="bottom"/>
            <w:tcBorders>
              <w:bottom w:val="single" w:sz="8" w:color="C0C0C0"/>
            </w:tcBorders>
          </w:tcPr>
          <w:p>
            <w:pPr>
              <w:spacing w:after="0"/>
              <w:rPr>
                <w:sz w:val="3"/>
                <w:szCs w:val="3"/>
                <w:color w:val="auto"/>
              </w:rPr>
            </w:pPr>
          </w:p>
        </w:tc>
        <w:tc>
          <w:tcPr>
            <w:tcW w:w="500" w:type="dxa"/>
            <w:vAlign w:val="bottom"/>
            <w:tcBorders>
              <w:bottom w:val="single" w:sz="8" w:color="C0C0C0"/>
            </w:tcBorders>
          </w:tcPr>
          <w:p>
            <w:pPr>
              <w:spacing w:after="0"/>
              <w:rPr>
                <w:sz w:val="3"/>
                <w:szCs w:val="3"/>
                <w:color w:val="auto"/>
              </w:rPr>
            </w:pPr>
          </w:p>
        </w:tc>
        <w:tc>
          <w:tcPr>
            <w:tcW w:w="80" w:type="dxa"/>
            <w:vAlign w:val="bottom"/>
            <w:tcBorders>
              <w:bottom w:val="single" w:sz="8" w:color="C0C0C0"/>
            </w:tcBorders>
          </w:tcPr>
          <w:p>
            <w:pPr>
              <w:spacing w:after="0"/>
              <w:rPr>
                <w:sz w:val="3"/>
                <w:szCs w:val="3"/>
                <w:color w:val="auto"/>
              </w:rPr>
            </w:pPr>
          </w:p>
        </w:tc>
        <w:tc>
          <w:tcPr>
            <w:tcW w:w="140" w:type="dxa"/>
            <w:vAlign w:val="bottom"/>
            <w:tcBorders>
              <w:bottom w:val="single" w:sz="8" w:color="C0C0C0"/>
            </w:tcBorders>
          </w:tcPr>
          <w:p>
            <w:pPr>
              <w:spacing w:after="0"/>
              <w:rPr>
                <w:sz w:val="3"/>
                <w:szCs w:val="3"/>
                <w:color w:val="auto"/>
              </w:rPr>
            </w:pPr>
          </w:p>
        </w:tc>
        <w:tc>
          <w:tcPr>
            <w:tcW w:w="80" w:type="dxa"/>
            <w:vAlign w:val="bottom"/>
            <w:tcBorders>
              <w:bottom w:val="single" w:sz="8" w:color="C0C0C0"/>
            </w:tcBorders>
          </w:tcPr>
          <w:p>
            <w:pPr>
              <w:spacing w:after="0"/>
              <w:rPr>
                <w:sz w:val="3"/>
                <w:szCs w:val="3"/>
                <w:color w:val="auto"/>
              </w:rPr>
            </w:pPr>
          </w:p>
        </w:tc>
        <w:tc>
          <w:tcPr>
            <w:tcW w:w="80" w:type="dxa"/>
            <w:vAlign w:val="bottom"/>
            <w:tcBorders>
              <w:bottom w:val="single" w:sz="8" w:color="C0C0C0"/>
            </w:tcBorders>
          </w:tcPr>
          <w:p>
            <w:pPr>
              <w:spacing w:after="0"/>
              <w:rPr>
                <w:sz w:val="3"/>
                <w:szCs w:val="3"/>
                <w:color w:val="auto"/>
              </w:rPr>
            </w:pPr>
          </w:p>
        </w:tc>
        <w:tc>
          <w:tcPr>
            <w:tcW w:w="560" w:type="dxa"/>
            <w:vAlign w:val="bottom"/>
            <w:tcBorders>
              <w:bottom w:val="single" w:sz="8" w:color="C0C0C0"/>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120" w:type="dxa"/>
            <w:vAlign w:val="bottom"/>
            <w:tcBorders>
              <w:bottom w:val="single" w:sz="8" w:color="C0C0C0"/>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120" w:type="dxa"/>
            <w:vAlign w:val="bottom"/>
            <w:tcBorders>
              <w:bottom w:val="single" w:sz="8" w:color="C0C0C0"/>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20" w:type="dxa"/>
            <w:vAlign w:val="bottom"/>
            <w:tcBorders>
              <w:bottom w:val="single" w:sz="8" w:color="C0C0C0"/>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r>
      <w:tr>
        <w:trPr>
          <w:trHeight w:val="196"/>
        </w:trPr>
        <w:tc>
          <w:tcPr>
            <w:tcW w:w="4360" w:type="dxa"/>
            <w:vAlign w:val="bottom"/>
            <w:shd w:val="clear" w:color="auto" w:fill="C0C0C0"/>
          </w:tcPr>
          <w:p>
            <w:pPr>
              <w:spacing w:after="0"/>
              <w:rPr>
                <w:sz w:val="20"/>
                <w:szCs w:val="20"/>
                <w:color w:val="auto"/>
              </w:rPr>
            </w:pPr>
            <w:r>
              <w:rPr>
                <w:rFonts w:ascii="Arial" w:cs="Arial" w:eastAsia="Arial" w:hAnsi="Arial"/>
                <w:sz w:val="14"/>
                <w:szCs w:val="14"/>
                <w:color w:val="auto"/>
              </w:rPr>
              <w:t>Sale of common stock through</w:t>
            </w:r>
          </w:p>
        </w:tc>
        <w:tc>
          <w:tcPr>
            <w:tcW w:w="220" w:type="dxa"/>
            <w:vAlign w:val="bottom"/>
            <w:shd w:val="clear" w:color="auto" w:fill="C0C0C0"/>
          </w:tcPr>
          <w:p>
            <w:pPr>
              <w:spacing w:after="0"/>
              <w:rPr>
                <w:sz w:val="17"/>
                <w:szCs w:val="17"/>
                <w:color w:val="auto"/>
              </w:rPr>
            </w:pPr>
          </w:p>
        </w:tc>
        <w:tc>
          <w:tcPr>
            <w:tcW w:w="34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80" w:type="dxa"/>
            <w:vAlign w:val="bottom"/>
            <w:shd w:val="clear" w:color="auto" w:fill="C0C0C0"/>
          </w:tcPr>
          <w:p>
            <w:pPr>
              <w:spacing w:after="0"/>
              <w:rPr>
                <w:sz w:val="17"/>
                <w:szCs w:val="17"/>
                <w:color w:val="auto"/>
              </w:rPr>
            </w:pPr>
          </w:p>
        </w:tc>
        <w:tc>
          <w:tcPr>
            <w:tcW w:w="28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40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100" w:type="dxa"/>
            <w:vAlign w:val="bottom"/>
            <w:tcBorders>
              <w:left w:val="single" w:sz="8" w:color="C0C0C0"/>
            </w:tcBorders>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80" w:type="dxa"/>
            <w:vAlign w:val="bottom"/>
            <w:shd w:val="clear" w:color="auto" w:fill="C0C0C0"/>
          </w:tcPr>
          <w:p>
            <w:pPr>
              <w:spacing w:after="0"/>
              <w:rPr>
                <w:sz w:val="17"/>
                <w:szCs w:val="17"/>
                <w:color w:val="auto"/>
              </w:rPr>
            </w:pPr>
          </w:p>
        </w:tc>
        <w:tc>
          <w:tcPr>
            <w:tcW w:w="500" w:type="dxa"/>
            <w:vAlign w:val="bottom"/>
            <w:shd w:val="clear" w:color="auto" w:fill="C0C0C0"/>
          </w:tcPr>
          <w:p>
            <w:pPr>
              <w:spacing w:after="0"/>
              <w:rPr>
                <w:sz w:val="17"/>
                <w:szCs w:val="17"/>
                <w:color w:val="auto"/>
              </w:rPr>
            </w:pPr>
          </w:p>
        </w:tc>
        <w:tc>
          <w:tcPr>
            <w:tcW w:w="8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80" w:type="dxa"/>
            <w:vAlign w:val="bottom"/>
            <w:shd w:val="clear" w:color="auto" w:fill="C0C0C0"/>
          </w:tcPr>
          <w:p>
            <w:pPr>
              <w:spacing w:after="0"/>
              <w:rPr>
                <w:sz w:val="17"/>
                <w:szCs w:val="17"/>
                <w:color w:val="auto"/>
              </w:rPr>
            </w:pPr>
          </w:p>
        </w:tc>
        <w:tc>
          <w:tcPr>
            <w:tcW w:w="80" w:type="dxa"/>
            <w:vAlign w:val="bottom"/>
            <w:shd w:val="clear" w:color="auto" w:fill="C0C0C0"/>
          </w:tcPr>
          <w:p>
            <w:pPr>
              <w:spacing w:after="0"/>
              <w:rPr>
                <w:sz w:val="17"/>
                <w:szCs w:val="17"/>
                <w:color w:val="auto"/>
              </w:rPr>
            </w:pPr>
          </w:p>
        </w:tc>
        <w:tc>
          <w:tcPr>
            <w:tcW w:w="56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56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80" w:type="dxa"/>
            <w:vAlign w:val="bottom"/>
            <w:shd w:val="clear" w:color="auto" w:fill="C0C0C0"/>
          </w:tcPr>
          <w:p>
            <w:pPr>
              <w:spacing w:after="0"/>
              <w:rPr>
                <w:sz w:val="17"/>
                <w:szCs w:val="17"/>
                <w:color w:val="auto"/>
              </w:rPr>
            </w:pPr>
          </w:p>
        </w:tc>
        <w:tc>
          <w:tcPr>
            <w:tcW w:w="60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580" w:type="dxa"/>
            <w:vAlign w:val="bottom"/>
            <w:shd w:val="clear" w:color="auto" w:fill="C0C0C0"/>
          </w:tcPr>
          <w:p>
            <w:pPr>
              <w:spacing w:after="0"/>
              <w:rPr>
                <w:sz w:val="17"/>
                <w:szCs w:val="17"/>
                <w:color w:val="auto"/>
              </w:rPr>
            </w:pPr>
          </w:p>
        </w:tc>
      </w:tr>
      <w:tr>
        <w:trPr>
          <w:trHeight w:val="243"/>
        </w:trPr>
        <w:tc>
          <w:tcPr>
            <w:tcW w:w="4360" w:type="dxa"/>
            <w:vAlign w:val="bottom"/>
            <w:shd w:val="clear" w:color="auto" w:fill="C0C0C0"/>
          </w:tcPr>
          <w:p>
            <w:pPr>
              <w:ind w:left="240"/>
              <w:spacing w:after="0"/>
              <w:rPr>
                <w:sz w:val="20"/>
                <w:szCs w:val="20"/>
                <w:color w:val="auto"/>
              </w:rPr>
            </w:pPr>
            <w:r>
              <w:rPr>
                <w:rFonts w:ascii="Arial" w:cs="Arial" w:eastAsia="Arial" w:hAnsi="Arial"/>
                <w:sz w:val="14"/>
                <w:szCs w:val="14"/>
                <w:color w:val="auto"/>
              </w:rPr>
              <w:t>employee stock option and</w:t>
            </w:r>
          </w:p>
        </w:tc>
        <w:tc>
          <w:tcPr>
            <w:tcW w:w="22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40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100" w:type="dxa"/>
            <w:vAlign w:val="bottom"/>
            <w:tcBorders>
              <w:left w:val="single" w:sz="8" w:color="C0C0C0"/>
            </w:tcBorders>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50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5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5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60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r>
      <w:tr>
        <w:trPr>
          <w:trHeight w:val="264"/>
        </w:trPr>
        <w:tc>
          <w:tcPr>
            <w:tcW w:w="4360" w:type="dxa"/>
            <w:vAlign w:val="bottom"/>
            <w:tcBorders>
              <w:bottom w:val="single" w:sz="8" w:color="C0C0C0"/>
            </w:tcBorders>
            <w:shd w:val="clear" w:color="auto" w:fill="C0C0C0"/>
          </w:tcPr>
          <w:p>
            <w:pPr>
              <w:ind w:left="480"/>
              <w:spacing w:after="0"/>
              <w:rPr>
                <w:sz w:val="20"/>
                <w:szCs w:val="20"/>
                <w:color w:val="auto"/>
              </w:rPr>
            </w:pPr>
            <w:r>
              <w:rPr>
                <w:rFonts w:ascii="Arial" w:cs="Arial" w:eastAsia="Arial" w:hAnsi="Arial"/>
                <w:sz w:val="14"/>
                <w:szCs w:val="14"/>
                <w:color w:val="auto"/>
              </w:rPr>
              <w:t>purchase plan</w:t>
            </w:r>
          </w:p>
        </w:tc>
        <w:tc>
          <w:tcPr>
            <w:tcW w:w="220" w:type="dxa"/>
            <w:vAlign w:val="bottom"/>
            <w:tcBorders>
              <w:bottom w:val="single" w:sz="8" w:color="C0C0C0"/>
            </w:tcBorders>
            <w:shd w:val="clear" w:color="auto" w:fill="C0C0C0"/>
          </w:tcPr>
          <w:p>
            <w:pPr>
              <w:spacing w:after="0"/>
              <w:rPr>
                <w:sz w:val="22"/>
                <w:szCs w:val="22"/>
                <w:color w:val="auto"/>
              </w:rPr>
            </w:pPr>
          </w:p>
        </w:tc>
        <w:tc>
          <w:tcPr>
            <w:tcW w:w="540" w:type="dxa"/>
            <w:vAlign w:val="bottom"/>
            <w:tcBorders>
              <w:bottom w:val="single" w:sz="8" w:color="C0C0C0"/>
            </w:tcBorders>
            <w:gridSpan w:val="2"/>
            <w:shd w:val="clear" w:color="auto" w:fill="C0C0C0"/>
          </w:tcPr>
          <w:p>
            <w:pPr>
              <w:jc w:val="right"/>
              <w:spacing w:after="0"/>
              <w:rPr>
                <w:sz w:val="20"/>
                <w:szCs w:val="20"/>
                <w:color w:val="auto"/>
              </w:rPr>
            </w:pPr>
            <w:r>
              <w:rPr>
                <w:rFonts w:ascii="Arial" w:cs="Arial" w:eastAsia="Arial" w:hAnsi="Arial"/>
                <w:sz w:val="14"/>
                <w:szCs w:val="14"/>
                <w:color w:val="auto"/>
              </w:rPr>
              <w:t>40</w:t>
            </w:r>
          </w:p>
        </w:tc>
        <w:tc>
          <w:tcPr>
            <w:tcW w:w="200" w:type="dxa"/>
            <w:vAlign w:val="bottom"/>
            <w:tcBorders>
              <w:bottom w:val="single" w:sz="8" w:color="C0C0C0"/>
            </w:tcBorders>
            <w:shd w:val="clear" w:color="auto" w:fill="C0C0C0"/>
          </w:tcPr>
          <w:p>
            <w:pPr>
              <w:spacing w:after="0"/>
              <w:rPr>
                <w:sz w:val="22"/>
                <w:szCs w:val="22"/>
                <w:color w:val="auto"/>
              </w:rPr>
            </w:pPr>
          </w:p>
        </w:tc>
        <w:tc>
          <w:tcPr>
            <w:tcW w:w="140" w:type="dxa"/>
            <w:vAlign w:val="bottom"/>
            <w:tcBorders>
              <w:bottom w:val="single" w:sz="8" w:color="C0C0C0"/>
            </w:tcBorders>
            <w:shd w:val="clear" w:color="auto" w:fill="C0C0C0"/>
          </w:tcPr>
          <w:p>
            <w:pPr>
              <w:spacing w:after="0"/>
              <w:rPr>
                <w:sz w:val="22"/>
                <w:szCs w:val="22"/>
                <w:color w:val="auto"/>
              </w:rPr>
            </w:pPr>
          </w:p>
        </w:tc>
        <w:tc>
          <w:tcPr>
            <w:tcW w:w="360" w:type="dxa"/>
            <w:vAlign w:val="bottom"/>
            <w:tcBorders>
              <w:bottom w:val="single" w:sz="8" w:color="C0C0C0"/>
            </w:tcBorders>
            <w:gridSpan w:val="2"/>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0C0C0"/>
            </w:tcBorders>
            <w:shd w:val="clear" w:color="auto" w:fill="C0C0C0"/>
          </w:tcPr>
          <w:p>
            <w:pPr>
              <w:spacing w:after="0"/>
              <w:rPr>
                <w:sz w:val="22"/>
                <w:szCs w:val="22"/>
                <w:color w:val="auto"/>
              </w:rPr>
            </w:pPr>
          </w:p>
        </w:tc>
        <w:tc>
          <w:tcPr>
            <w:tcW w:w="100" w:type="dxa"/>
            <w:vAlign w:val="bottom"/>
            <w:tcBorders>
              <w:bottom w:val="single" w:sz="8" w:color="C0C0C0"/>
            </w:tcBorders>
            <w:shd w:val="clear" w:color="auto" w:fill="C0C0C0"/>
          </w:tcPr>
          <w:p>
            <w:pPr>
              <w:spacing w:after="0"/>
              <w:rPr>
                <w:sz w:val="22"/>
                <w:szCs w:val="22"/>
                <w:color w:val="auto"/>
              </w:rPr>
            </w:pPr>
          </w:p>
        </w:tc>
        <w:tc>
          <w:tcPr>
            <w:tcW w:w="100" w:type="dxa"/>
            <w:vAlign w:val="bottom"/>
            <w:tcBorders>
              <w:bottom w:val="single" w:sz="8" w:color="C0C0C0"/>
            </w:tcBorders>
            <w:shd w:val="clear" w:color="auto" w:fill="C0C0C0"/>
          </w:tcPr>
          <w:p>
            <w:pPr>
              <w:spacing w:after="0"/>
              <w:rPr>
                <w:sz w:val="22"/>
                <w:szCs w:val="22"/>
                <w:color w:val="auto"/>
              </w:rPr>
            </w:pPr>
          </w:p>
        </w:tc>
        <w:tc>
          <w:tcPr>
            <w:tcW w:w="100" w:type="dxa"/>
            <w:vAlign w:val="bottom"/>
            <w:tcBorders>
              <w:bottom w:val="single" w:sz="8" w:color="C0C0C0"/>
            </w:tcBorders>
            <w:shd w:val="clear" w:color="auto" w:fill="C0C0C0"/>
          </w:tcPr>
          <w:p>
            <w:pPr>
              <w:spacing w:after="0"/>
              <w:rPr>
                <w:sz w:val="22"/>
                <w:szCs w:val="22"/>
                <w:color w:val="auto"/>
              </w:rPr>
            </w:pPr>
          </w:p>
        </w:tc>
        <w:tc>
          <w:tcPr>
            <w:tcW w:w="600" w:type="dxa"/>
            <w:vAlign w:val="bottom"/>
            <w:tcBorders>
              <w:bottom w:val="single" w:sz="8" w:color="C0C0C0"/>
            </w:tcBorders>
            <w:gridSpan w:val="2"/>
            <w:shd w:val="clear" w:color="auto" w:fill="C0C0C0"/>
          </w:tcPr>
          <w:p>
            <w:pPr>
              <w:jc w:val="right"/>
              <w:ind w:right="132"/>
              <w:spacing w:after="0"/>
              <w:rPr>
                <w:sz w:val="20"/>
                <w:szCs w:val="20"/>
                <w:color w:val="auto"/>
              </w:rPr>
            </w:pPr>
            <w:r>
              <w:rPr>
                <w:rFonts w:ascii="Arial" w:cs="Arial" w:eastAsia="Arial" w:hAnsi="Arial"/>
                <w:sz w:val="14"/>
                <w:szCs w:val="14"/>
                <w:color w:val="auto"/>
              </w:rPr>
              <w:t>30</w:t>
            </w:r>
          </w:p>
        </w:tc>
        <w:tc>
          <w:tcPr>
            <w:tcW w:w="100" w:type="dxa"/>
            <w:vAlign w:val="bottom"/>
            <w:tcBorders>
              <w:left w:val="single" w:sz="8" w:color="C0C0C0"/>
              <w:bottom w:val="single" w:sz="8" w:color="C0C0C0"/>
            </w:tcBorders>
            <w:shd w:val="clear" w:color="auto" w:fill="C0C0C0"/>
          </w:tcPr>
          <w:p>
            <w:pPr>
              <w:spacing w:after="0"/>
              <w:rPr>
                <w:sz w:val="22"/>
                <w:szCs w:val="22"/>
                <w:color w:val="auto"/>
              </w:rPr>
            </w:pPr>
          </w:p>
        </w:tc>
        <w:tc>
          <w:tcPr>
            <w:tcW w:w="120" w:type="dxa"/>
            <w:vAlign w:val="bottom"/>
            <w:tcBorders>
              <w:bottom w:val="single" w:sz="8" w:color="C0C0C0"/>
            </w:tcBorders>
            <w:shd w:val="clear" w:color="auto" w:fill="C0C0C0"/>
          </w:tcPr>
          <w:p>
            <w:pPr>
              <w:spacing w:after="0"/>
              <w:rPr>
                <w:sz w:val="22"/>
                <w:szCs w:val="22"/>
                <w:color w:val="auto"/>
              </w:rPr>
            </w:pPr>
          </w:p>
        </w:tc>
        <w:tc>
          <w:tcPr>
            <w:tcW w:w="80" w:type="dxa"/>
            <w:vAlign w:val="bottom"/>
            <w:tcBorders>
              <w:bottom w:val="single" w:sz="8" w:color="C0C0C0"/>
            </w:tcBorders>
            <w:shd w:val="clear" w:color="auto" w:fill="C0C0C0"/>
          </w:tcPr>
          <w:p>
            <w:pPr>
              <w:spacing w:after="0"/>
              <w:rPr>
                <w:sz w:val="22"/>
                <w:szCs w:val="22"/>
                <w:color w:val="auto"/>
              </w:rPr>
            </w:pPr>
          </w:p>
        </w:tc>
        <w:tc>
          <w:tcPr>
            <w:tcW w:w="50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0C0C0"/>
            </w:tcBorders>
            <w:shd w:val="clear" w:color="auto" w:fill="C0C0C0"/>
          </w:tcPr>
          <w:p>
            <w:pPr>
              <w:spacing w:after="0"/>
              <w:rPr>
                <w:sz w:val="22"/>
                <w:szCs w:val="22"/>
                <w:color w:val="auto"/>
              </w:rPr>
            </w:pPr>
          </w:p>
        </w:tc>
        <w:tc>
          <w:tcPr>
            <w:tcW w:w="140" w:type="dxa"/>
            <w:vAlign w:val="bottom"/>
            <w:tcBorders>
              <w:bottom w:val="single" w:sz="8" w:color="C0C0C0"/>
            </w:tcBorders>
            <w:shd w:val="clear" w:color="auto" w:fill="C0C0C0"/>
          </w:tcPr>
          <w:p>
            <w:pPr>
              <w:spacing w:after="0"/>
              <w:rPr>
                <w:sz w:val="22"/>
                <w:szCs w:val="22"/>
                <w:color w:val="auto"/>
              </w:rPr>
            </w:pPr>
          </w:p>
        </w:tc>
        <w:tc>
          <w:tcPr>
            <w:tcW w:w="80" w:type="dxa"/>
            <w:vAlign w:val="bottom"/>
            <w:tcBorders>
              <w:bottom w:val="single" w:sz="8" w:color="C0C0C0"/>
            </w:tcBorders>
            <w:shd w:val="clear" w:color="auto" w:fill="C0C0C0"/>
          </w:tcPr>
          <w:p>
            <w:pPr>
              <w:spacing w:after="0"/>
              <w:rPr>
                <w:sz w:val="22"/>
                <w:szCs w:val="22"/>
                <w:color w:val="auto"/>
              </w:rPr>
            </w:pPr>
          </w:p>
        </w:tc>
        <w:tc>
          <w:tcPr>
            <w:tcW w:w="80" w:type="dxa"/>
            <w:vAlign w:val="bottom"/>
            <w:tcBorders>
              <w:bottom w:val="single" w:sz="8" w:color="C0C0C0"/>
            </w:tcBorders>
            <w:shd w:val="clear" w:color="auto" w:fill="C0C0C0"/>
          </w:tcPr>
          <w:p>
            <w:pPr>
              <w:spacing w:after="0"/>
              <w:rPr>
                <w:sz w:val="22"/>
                <w:szCs w:val="22"/>
                <w:color w:val="auto"/>
              </w:rPr>
            </w:pPr>
          </w:p>
        </w:tc>
        <w:tc>
          <w:tcPr>
            <w:tcW w:w="560" w:type="dxa"/>
            <w:vAlign w:val="bottom"/>
            <w:tcBorders>
              <w:bottom w:val="single" w:sz="8" w:color="C0C0C0"/>
            </w:tcBorders>
            <w:shd w:val="clear" w:color="auto" w:fill="C0C0C0"/>
          </w:tcPr>
          <w:p>
            <w:pPr>
              <w:jc w:val="right"/>
              <w:ind w:right="3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0C0C0"/>
            </w:tcBorders>
            <w:shd w:val="clear" w:color="auto" w:fill="C0C0C0"/>
          </w:tcPr>
          <w:p>
            <w:pPr>
              <w:spacing w:after="0"/>
              <w:rPr>
                <w:sz w:val="22"/>
                <w:szCs w:val="22"/>
                <w:color w:val="auto"/>
              </w:rPr>
            </w:pPr>
          </w:p>
        </w:tc>
        <w:tc>
          <w:tcPr>
            <w:tcW w:w="120" w:type="dxa"/>
            <w:vAlign w:val="bottom"/>
            <w:tcBorders>
              <w:bottom w:val="single" w:sz="8" w:color="C0C0C0"/>
            </w:tcBorders>
            <w:shd w:val="clear" w:color="auto" w:fill="C0C0C0"/>
          </w:tcPr>
          <w:p>
            <w:pPr>
              <w:spacing w:after="0"/>
              <w:rPr>
                <w:sz w:val="22"/>
                <w:szCs w:val="22"/>
                <w:color w:val="auto"/>
              </w:rPr>
            </w:pPr>
          </w:p>
        </w:tc>
        <w:tc>
          <w:tcPr>
            <w:tcW w:w="140" w:type="dxa"/>
            <w:vAlign w:val="bottom"/>
            <w:tcBorders>
              <w:bottom w:val="single" w:sz="8" w:color="C0C0C0"/>
            </w:tcBorders>
            <w:shd w:val="clear" w:color="auto" w:fill="C0C0C0"/>
          </w:tcPr>
          <w:p>
            <w:pPr>
              <w:spacing w:after="0"/>
              <w:rPr>
                <w:sz w:val="22"/>
                <w:szCs w:val="22"/>
                <w:color w:val="auto"/>
              </w:rPr>
            </w:pPr>
          </w:p>
        </w:tc>
        <w:tc>
          <w:tcPr>
            <w:tcW w:w="660" w:type="dxa"/>
            <w:vAlign w:val="bottom"/>
            <w:tcBorders>
              <w:bottom w:val="single" w:sz="8" w:color="C0C0C0"/>
            </w:tcBorders>
            <w:gridSpan w:val="2"/>
            <w:shd w:val="clear" w:color="auto" w:fill="C0C0C0"/>
          </w:tcPr>
          <w:p>
            <w:pPr>
              <w:jc w:val="right"/>
              <w:ind w:right="100"/>
              <w:spacing w:after="0"/>
              <w:rPr>
                <w:sz w:val="20"/>
                <w:szCs w:val="20"/>
                <w:color w:val="auto"/>
              </w:rPr>
            </w:pPr>
            <w:r>
              <w:rPr>
                <w:rFonts w:ascii="Arial" w:cs="Arial" w:eastAsia="Arial" w:hAnsi="Arial"/>
                <w:sz w:val="14"/>
                <w:szCs w:val="14"/>
                <w:color w:val="auto"/>
              </w:rPr>
              <w:t>30</w:t>
            </w:r>
          </w:p>
        </w:tc>
        <w:tc>
          <w:tcPr>
            <w:tcW w:w="120" w:type="dxa"/>
            <w:vAlign w:val="bottom"/>
            <w:tcBorders>
              <w:bottom w:val="single" w:sz="8" w:color="C0C0C0"/>
            </w:tcBorders>
            <w:shd w:val="clear" w:color="auto" w:fill="C0C0C0"/>
          </w:tcPr>
          <w:p>
            <w:pPr>
              <w:spacing w:after="0"/>
              <w:rPr>
                <w:sz w:val="22"/>
                <w:szCs w:val="22"/>
                <w:color w:val="auto"/>
              </w:rPr>
            </w:pPr>
          </w:p>
        </w:tc>
        <w:tc>
          <w:tcPr>
            <w:tcW w:w="80" w:type="dxa"/>
            <w:vAlign w:val="bottom"/>
            <w:tcBorders>
              <w:bottom w:val="single" w:sz="8" w:color="C0C0C0"/>
            </w:tcBorders>
            <w:shd w:val="clear" w:color="auto" w:fill="C0C0C0"/>
          </w:tcPr>
          <w:p>
            <w:pPr>
              <w:spacing w:after="0"/>
              <w:rPr>
                <w:sz w:val="22"/>
                <w:szCs w:val="22"/>
                <w:color w:val="auto"/>
              </w:rPr>
            </w:pPr>
          </w:p>
        </w:tc>
        <w:tc>
          <w:tcPr>
            <w:tcW w:w="60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0C0C0"/>
            </w:tcBorders>
            <w:shd w:val="clear" w:color="auto" w:fill="C0C0C0"/>
          </w:tcPr>
          <w:p>
            <w:pPr>
              <w:spacing w:after="0"/>
              <w:rPr>
                <w:sz w:val="22"/>
                <w:szCs w:val="22"/>
                <w:color w:val="auto"/>
              </w:rPr>
            </w:pPr>
          </w:p>
        </w:tc>
        <w:tc>
          <w:tcPr>
            <w:tcW w:w="120" w:type="dxa"/>
            <w:vAlign w:val="bottom"/>
            <w:tcBorders>
              <w:bottom w:val="single" w:sz="8" w:color="C0C0C0"/>
            </w:tcBorders>
            <w:shd w:val="clear" w:color="auto" w:fill="C0C0C0"/>
          </w:tcPr>
          <w:p>
            <w:pPr>
              <w:spacing w:after="0"/>
              <w:rPr>
                <w:sz w:val="22"/>
                <w:szCs w:val="22"/>
                <w:color w:val="auto"/>
              </w:rPr>
            </w:pPr>
          </w:p>
        </w:tc>
        <w:tc>
          <w:tcPr>
            <w:tcW w:w="58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30</w:t>
            </w:r>
          </w:p>
        </w:tc>
      </w:tr>
      <w:tr>
        <w:trPr>
          <w:trHeight w:val="202"/>
        </w:trPr>
        <w:tc>
          <w:tcPr>
            <w:tcW w:w="4360" w:type="dxa"/>
            <w:vAlign w:val="bottom"/>
          </w:tcPr>
          <w:p>
            <w:pPr>
              <w:spacing w:after="0"/>
              <w:rPr>
                <w:sz w:val="20"/>
                <w:szCs w:val="20"/>
                <w:color w:val="auto"/>
              </w:rPr>
            </w:pPr>
            <w:r>
              <w:rPr>
                <w:rFonts w:ascii="Arial" w:cs="Arial" w:eastAsia="Arial" w:hAnsi="Arial"/>
                <w:sz w:val="14"/>
                <w:szCs w:val="14"/>
                <w:color w:val="auto"/>
              </w:rPr>
              <w:t>Share-based compensation</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43"/>
        </w:trPr>
        <w:tc>
          <w:tcPr>
            <w:tcW w:w="4360" w:type="dxa"/>
            <w:vAlign w:val="bottom"/>
          </w:tcPr>
          <w:p>
            <w:pPr>
              <w:ind w:left="240"/>
              <w:spacing w:after="0"/>
              <w:rPr>
                <w:sz w:val="20"/>
                <w:szCs w:val="20"/>
                <w:color w:val="auto"/>
              </w:rPr>
            </w:pPr>
            <w:r>
              <w:rPr>
                <w:rFonts w:ascii="Arial" w:cs="Arial" w:eastAsia="Arial" w:hAnsi="Arial"/>
                <w:sz w:val="14"/>
                <w:szCs w:val="14"/>
                <w:color w:val="auto"/>
              </w:rPr>
              <w:t>expense</w:t>
            </w:r>
          </w:p>
        </w:tc>
        <w:tc>
          <w:tcPr>
            <w:tcW w:w="76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gridSpan w:val="2"/>
          </w:tcPr>
          <w:p>
            <w:pPr>
              <w:jc w:val="right"/>
              <w:ind w:right="132"/>
              <w:spacing w:after="0"/>
              <w:rPr>
                <w:sz w:val="20"/>
                <w:szCs w:val="20"/>
                <w:color w:val="auto"/>
              </w:rPr>
            </w:pPr>
            <w:r>
              <w:rPr>
                <w:rFonts w:ascii="Arial" w:cs="Arial" w:eastAsia="Arial" w:hAnsi="Arial"/>
                <w:sz w:val="14"/>
                <w:szCs w:val="14"/>
                <w:color w:val="auto"/>
              </w:rPr>
              <w:t>428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428</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428</w:t>
            </w:r>
          </w:p>
        </w:tc>
      </w:tr>
      <w:tr>
        <w:trPr>
          <w:trHeight w:val="41"/>
        </w:trPr>
        <w:tc>
          <w:tcPr>
            <w:tcW w:w="4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r>
      <w:tr>
        <w:trPr>
          <w:trHeight w:val="202"/>
        </w:trPr>
        <w:tc>
          <w:tcPr>
            <w:tcW w:w="4360" w:type="dxa"/>
            <w:vAlign w:val="bottom"/>
            <w:shd w:val="clear" w:color="auto" w:fill="C0C0C0"/>
          </w:tcPr>
          <w:p>
            <w:pPr>
              <w:spacing w:after="0"/>
              <w:rPr>
                <w:sz w:val="20"/>
                <w:szCs w:val="20"/>
                <w:color w:val="auto"/>
              </w:rPr>
            </w:pPr>
            <w:r>
              <w:rPr>
                <w:rFonts w:ascii="Arial" w:cs="Arial" w:eastAsia="Arial" w:hAnsi="Arial"/>
                <w:sz w:val="14"/>
                <w:szCs w:val="14"/>
                <w:color w:val="auto"/>
              </w:rPr>
              <w:t>Restricted stock awards vesting</w:t>
            </w:r>
          </w:p>
        </w:tc>
        <w:tc>
          <w:tcPr>
            <w:tcW w:w="220" w:type="dxa"/>
            <w:vAlign w:val="bottom"/>
            <w:shd w:val="clear" w:color="auto" w:fill="C0C0C0"/>
          </w:tcPr>
          <w:p>
            <w:pPr>
              <w:spacing w:after="0"/>
              <w:rPr>
                <w:sz w:val="17"/>
                <w:szCs w:val="17"/>
                <w:color w:val="auto"/>
              </w:rPr>
            </w:pPr>
          </w:p>
        </w:tc>
        <w:tc>
          <w:tcPr>
            <w:tcW w:w="34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80" w:type="dxa"/>
            <w:vAlign w:val="bottom"/>
            <w:shd w:val="clear" w:color="auto" w:fill="C0C0C0"/>
          </w:tcPr>
          <w:p>
            <w:pPr>
              <w:spacing w:after="0"/>
              <w:rPr>
                <w:sz w:val="17"/>
                <w:szCs w:val="17"/>
                <w:color w:val="auto"/>
              </w:rPr>
            </w:pPr>
          </w:p>
        </w:tc>
        <w:tc>
          <w:tcPr>
            <w:tcW w:w="28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400" w:type="dxa"/>
            <w:vAlign w:val="bottom"/>
            <w:shd w:val="clear" w:color="auto" w:fill="C0C0C0"/>
          </w:tcPr>
          <w:p>
            <w:pPr>
              <w:spacing w:after="0"/>
              <w:rPr>
                <w:sz w:val="17"/>
                <w:szCs w:val="17"/>
                <w:color w:val="auto"/>
              </w:rPr>
            </w:pPr>
          </w:p>
        </w:tc>
        <w:tc>
          <w:tcPr>
            <w:tcW w:w="200" w:type="dxa"/>
            <w:vAlign w:val="bottom"/>
            <w:shd w:val="clear" w:color="auto" w:fill="C0C0C0"/>
          </w:tcPr>
          <w:p>
            <w:pPr>
              <w:spacing w:after="0"/>
              <w:rPr>
                <w:sz w:val="17"/>
                <w:szCs w:val="17"/>
                <w:color w:val="auto"/>
              </w:rPr>
            </w:pPr>
          </w:p>
        </w:tc>
        <w:tc>
          <w:tcPr>
            <w:tcW w:w="100" w:type="dxa"/>
            <w:vAlign w:val="bottom"/>
            <w:tcBorders>
              <w:left w:val="single" w:sz="8" w:color="C0C0C0"/>
            </w:tcBorders>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80" w:type="dxa"/>
            <w:vAlign w:val="bottom"/>
            <w:shd w:val="clear" w:color="auto" w:fill="C0C0C0"/>
          </w:tcPr>
          <w:p>
            <w:pPr>
              <w:spacing w:after="0"/>
              <w:rPr>
                <w:sz w:val="17"/>
                <w:szCs w:val="17"/>
                <w:color w:val="auto"/>
              </w:rPr>
            </w:pPr>
          </w:p>
        </w:tc>
        <w:tc>
          <w:tcPr>
            <w:tcW w:w="500" w:type="dxa"/>
            <w:vAlign w:val="bottom"/>
            <w:shd w:val="clear" w:color="auto" w:fill="C0C0C0"/>
          </w:tcPr>
          <w:p>
            <w:pPr>
              <w:spacing w:after="0"/>
              <w:rPr>
                <w:sz w:val="17"/>
                <w:szCs w:val="17"/>
                <w:color w:val="auto"/>
              </w:rPr>
            </w:pPr>
          </w:p>
        </w:tc>
        <w:tc>
          <w:tcPr>
            <w:tcW w:w="8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80" w:type="dxa"/>
            <w:vAlign w:val="bottom"/>
            <w:shd w:val="clear" w:color="auto" w:fill="C0C0C0"/>
          </w:tcPr>
          <w:p>
            <w:pPr>
              <w:spacing w:after="0"/>
              <w:rPr>
                <w:sz w:val="17"/>
                <w:szCs w:val="17"/>
                <w:color w:val="auto"/>
              </w:rPr>
            </w:pPr>
          </w:p>
        </w:tc>
        <w:tc>
          <w:tcPr>
            <w:tcW w:w="80" w:type="dxa"/>
            <w:vAlign w:val="bottom"/>
            <w:shd w:val="clear" w:color="auto" w:fill="C0C0C0"/>
          </w:tcPr>
          <w:p>
            <w:pPr>
              <w:spacing w:after="0"/>
              <w:rPr>
                <w:sz w:val="17"/>
                <w:szCs w:val="17"/>
                <w:color w:val="auto"/>
              </w:rPr>
            </w:pPr>
          </w:p>
        </w:tc>
        <w:tc>
          <w:tcPr>
            <w:tcW w:w="56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140" w:type="dxa"/>
            <w:vAlign w:val="bottom"/>
            <w:shd w:val="clear" w:color="auto" w:fill="C0C0C0"/>
          </w:tcPr>
          <w:p>
            <w:pPr>
              <w:spacing w:after="0"/>
              <w:rPr>
                <w:sz w:val="17"/>
                <w:szCs w:val="17"/>
                <w:color w:val="auto"/>
              </w:rPr>
            </w:pPr>
          </w:p>
        </w:tc>
        <w:tc>
          <w:tcPr>
            <w:tcW w:w="56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80" w:type="dxa"/>
            <w:vAlign w:val="bottom"/>
            <w:shd w:val="clear" w:color="auto" w:fill="C0C0C0"/>
          </w:tcPr>
          <w:p>
            <w:pPr>
              <w:spacing w:after="0"/>
              <w:rPr>
                <w:sz w:val="17"/>
                <w:szCs w:val="17"/>
                <w:color w:val="auto"/>
              </w:rPr>
            </w:pPr>
          </w:p>
        </w:tc>
        <w:tc>
          <w:tcPr>
            <w:tcW w:w="600" w:type="dxa"/>
            <w:vAlign w:val="bottom"/>
            <w:shd w:val="clear" w:color="auto" w:fill="C0C0C0"/>
          </w:tcPr>
          <w:p>
            <w:pPr>
              <w:spacing w:after="0"/>
              <w:rPr>
                <w:sz w:val="17"/>
                <w:szCs w:val="17"/>
                <w:color w:val="auto"/>
              </w:rPr>
            </w:pPr>
          </w:p>
        </w:tc>
        <w:tc>
          <w:tcPr>
            <w:tcW w:w="22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580" w:type="dxa"/>
            <w:vAlign w:val="bottom"/>
            <w:shd w:val="clear" w:color="auto" w:fill="C0C0C0"/>
          </w:tcPr>
          <w:p>
            <w:pPr>
              <w:spacing w:after="0"/>
              <w:rPr>
                <w:sz w:val="17"/>
                <w:szCs w:val="17"/>
                <w:color w:val="auto"/>
              </w:rPr>
            </w:pPr>
          </w:p>
        </w:tc>
      </w:tr>
      <w:tr>
        <w:trPr>
          <w:trHeight w:val="264"/>
        </w:trPr>
        <w:tc>
          <w:tcPr>
            <w:tcW w:w="4360" w:type="dxa"/>
            <w:vAlign w:val="bottom"/>
            <w:tcBorders>
              <w:bottom w:val="single" w:sz="8" w:color="C0C0C0"/>
            </w:tcBorders>
            <w:shd w:val="clear" w:color="auto" w:fill="C0C0C0"/>
          </w:tcPr>
          <w:p>
            <w:pPr>
              <w:ind w:left="240"/>
              <w:spacing w:after="0"/>
              <w:rPr>
                <w:sz w:val="20"/>
                <w:szCs w:val="20"/>
                <w:color w:val="auto"/>
              </w:rPr>
            </w:pPr>
            <w:r>
              <w:rPr>
                <w:rFonts w:ascii="Arial" w:cs="Arial" w:eastAsia="Arial" w:hAnsi="Arial"/>
                <w:sz w:val="14"/>
                <w:szCs w:val="14"/>
                <w:color w:val="auto"/>
              </w:rPr>
              <w:t>and expense</w:t>
            </w:r>
          </w:p>
        </w:tc>
        <w:tc>
          <w:tcPr>
            <w:tcW w:w="760" w:type="dxa"/>
            <w:vAlign w:val="bottom"/>
            <w:tcBorders>
              <w:bottom w:val="single" w:sz="8" w:color="C0C0C0"/>
            </w:tcBorders>
            <w:gridSpan w:val="3"/>
            <w:shd w:val="clear" w:color="auto" w:fill="C0C0C0"/>
          </w:tcPr>
          <w:p>
            <w:pPr>
              <w:jc w:val="right"/>
              <w:spacing w:after="0"/>
              <w:rPr>
                <w:sz w:val="20"/>
                <w:szCs w:val="20"/>
                <w:color w:val="auto"/>
              </w:rPr>
            </w:pPr>
            <w:r>
              <w:rPr>
                <w:rFonts w:ascii="Arial" w:cs="Arial" w:eastAsia="Arial" w:hAnsi="Arial"/>
                <w:sz w:val="14"/>
                <w:szCs w:val="14"/>
                <w:color w:val="auto"/>
              </w:rPr>
              <w:t>42</w:t>
            </w:r>
          </w:p>
        </w:tc>
        <w:tc>
          <w:tcPr>
            <w:tcW w:w="200" w:type="dxa"/>
            <w:vAlign w:val="bottom"/>
            <w:tcBorders>
              <w:bottom w:val="single" w:sz="8" w:color="C0C0C0"/>
            </w:tcBorders>
            <w:shd w:val="clear" w:color="auto" w:fill="C0C0C0"/>
          </w:tcPr>
          <w:p>
            <w:pPr>
              <w:spacing w:after="0"/>
              <w:rPr>
                <w:sz w:val="22"/>
                <w:szCs w:val="22"/>
                <w:color w:val="auto"/>
              </w:rPr>
            </w:pPr>
          </w:p>
        </w:tc>
        <w:tc>
          <w:tcPr>
            <w:tcW w:w="140" w:type="dxa"/>
            <w:vAlign w:val="bottom"/>
            <w:tcBorders>
              <w:bottom w:val="single" w:sz="8" w:color="C0C0C0"/>
            </w:tcBorders>
            <w:shd w:val="clear" w:color="auto" w:fill="C0C0C0"/>
          </w:tcPr>
          <w:p>
            <w:pPr>
              <w:spacing w:after="0"/>
              <w:rPr>
                <w:sz w:val="22"/>
                <w:szCs w:val="22"/>
                <w:color w:val="auto"/>
              </w:rPr>
            </w:pPr>
          </w:p>
        </w:tc>
        <w:tc>
          <w:tcPr>
            <w:tcW w:w="360" w:type="dxa"/>
            <w:vAlign w:val="bottom"/>
            <w:tcBorders>
              <w:bottom w:val="single" w:sz="8" w:color="C0C0C0"/>
            </w:tcBorders>
            <w:gridSpan w:val="2"/>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0C0C0"/>
            </w:tcBorders>
            <w:shd w:val="clear" w:color="auto" w:fill="C0C0C0"/>
          </w:tcPr>
          <w:p>
            <w:pPr>
              <w:spacing w:after="0"/>
              <w:rPr>
                <w:sz w:val="22"/>
                <w:szCs w:val="22"/>
                <w:color w:val="auto"/>
              </w:rPr>
            </w:pPr>
          </w:p>
        </w:tc>
        <w:tc>
          <w:tcPr>
            <w:tcW w:w="100" w:type="dxa"/>
            <w:vAlign w:val="bottom"/>
            <w:tcBorders>
              <w:bottom w:val="single" w:sz="8" w:color="C0C0C0"/>
            </w:tcBorders>
            <w:shd w:val="clear" w:color="auto" w:fill="C0C0C0"/>
          </w:tcPr>
          <w:p>
            <w:pPr>
              <w:spacing w:after="0"/>
              <w:rPr>
                <w:sz w:val="22"/>
                <w:szCs w:val="22"/>
                <w:color w:val="auto"/>
              </w:rPr>
            </w:pPr>
          </w:p>
        </w:tc>
        <w:tc>
          <w:tcPr>
            <w:tcW w:w="100" w:type="dxa"/>
            <w:vAlign w:val="bottom"/>
            <w:tcBorders>
              <w:bottom w:val="single" w:sz="8" w:color="C0C0C0"/>
            </w:tcBorders>
            <w:shd w:val="clear" w:color="auto" w:fill="C0C0C0"/>
          </w:tcPr>
          <w:p>
            <w:pPr>
              <w:spacing w:after="0"/>
              <w:rPr>
                <w:sz w:val="22"/>
                <w:szCs w:val="22"/>
                <w:color w:val="auto"/>
              </w:rPr>
            </w:pPr>
          </w:p>
        </w:tc>
        <w:tc>
          <w:tcPr>
            <w:tcW w:w="100" w:type="dxa"/>
            <w:vAlign w:val="bottom"/>
            <w:tcBorders>
              <w:bottom w:val="single" w:sz="8" w:color="C0C0C0"/>
            </w:tcBorders>
            <w:shd w:val="clear" w:color="auto" w:fill="C0C0C0"/>
          </w:tcPr>
          <w:p>
            <w:pPr>
              <w:spacing w:after="0"/>
              <w:rPr>
                <w:sz w:val="22"/>
                <w:szCs w:val="22"/>
                <w:color w:val="auto"/>
              </w:rPr>
            </w:pPr>
          </w:p>
        </w:tc>
        <w:tc>
          <w:tcPr>
            <w:tcW w:w="600" w:type="dxa"/>
            <w:vAlign w:val="bottom"/>
            <w:tcBorders>
              <w:bottom w:val="single" w:sz="8" w:color="C0C0C0"/>
            </w:tcBorders>
            <w:gridSpan w:val="2"/>
            <w:shd w:val="clear" w:color="auto" w:fill="C0C0C0"/>
          </w:tcPr>
          <w:p>
            <w:pPr>
              <w:jc w:val="right"/>
              <w:ind w:right="132"/>
              <w:spacing w:after="0"/>
              <w:rPr>
                <w:sz w:val="20"/>
                <w:szCs w:val="20"/>
                <w:color w:val="auto"/>
              </w:rPr>
            </w:pPr>
            <w:r>
              <w:rPr>
                <w:rFonts w:ascii="Arial" w:cs="Arial" w:eastAsia="Arial" w:hAnsi="Arial"/>
                <w:sz w:val="14"/>
                <w:szCs w:val="14"/>
                <w:color w:val="auto"/>
              </w:rPr>
              <w:t>149</w:t>
            </w:r>
          </w:p>
        </w:tc>
        <w:tc>
          <w:tcPr>
            <w:tcW w:w="100" w:type="dxa"/>
            <w:vAlign w:val="bottom"/>
            <w:tcBorders>
              <w:left w:val="single" w:sz="8" w:color="C0C0C0"/>
              <w:bottom w:val="single" w:sz="8" w:color="C0C0C0"/>
            </w:tcBorders>
            <w:shd w:val="clear" w:color="auto" w:fill="C0C0C0"/>
          </w:tcPr>
          <w:p>
            <w:pPr>
              <w:spacing w:after="0"/>
              <w:rPr>
                <w:sz w:val="22"/>
                <w:szCs w:val="22"/>
                <w:color w:val="auto"/>
              </w:rPr>
            </w:pPr>
          </w:p>
        </w:tc>
        <w:tc>
          <w:tcPr>
            <w:tcW w:w="120" w:type="dxa"/>
            <w:vAlign w:val="bottom"/>
            <w:tcBorders>
              <w:bottom w:val="single" w:sz="8" w:color="C0C0C0"/>
            </w:tcBorders>
            <w:shd w:val="clear" w:color="auto" w:fill="C0C0C0"/>
          </w:tcPr>
          <w:p>
            <w:pPr>
              <w:spacing w:after="0"/>
              <w:rPr>
                <w:sz w:val="22"/>
                <w:szCs w:val="22"/>
                <w:color w:val="auto"/>
              </w:rPr>
            </w:pPr>
          </w:p>
        </w:tc>
        <w:tc>
          <w:tcPr>
            <w:tcW w:w="80" w:type="dxa"/>
            <w:vAlign w:val="bottom"/>
            <w:tcBorders>
              <w:bottom w:val="single" w:sz="8" w:color="C0C0C0"/>
            </w:tcBorders>
            <w:shd w:val="clear" w:color="auto" w:fill="C0C0C0"/>
          </w:tcPr>
          <w:p>
            <w:pPr>
              <w:spacing w:after="0"/>
              <w:rPr>
                <w:sz w:val="22"/>
                <w:szCs w:val="22"/>
                <w:color w:val="auto"/>
              </w:rPr>
            </w:pPr>
          </w:p>
        </w:tc>
        <w:tc>
          <w:tcPr>
            <w:tcW w:w="500" w:type="dxa"/>
            <w:vAlign w:val="bottom"/>
            <w:tcBorders>
              <w:bottom w:val="single" w:sz="8" w:color="C0C0C0"/>
            </w:tcBorders>
            <w:shd w:val="clear" w:color="auto" w:fill="C0C0C0"/>
          </w:tcPr>
          <w:p>
            <w:pPr>
              <w:jc w:val="right"/>
              <w:ind w:right="12"/>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0C0C0"/>
            </w:tcBorders>
            <w:shd w:val="clear" w:color="auto" w:fill="C0C0C0"/>
          </w:tcPr>
          <w:p>
            <w:pPr>
              <w:spacing w:after="0"/>
              <w:rPr>
                <w:sz w:val="22"/>
                <w:szCs w:val="22"/>
                <w:color w:val="auto"/>
              </w:rPr>
            </w:pPr>
          </w:p>
        </w:tc>
        <w:tc>
          <w:tcPr>
            <w:tcW w:w="140" w:type="dxa"/>
            <w:vAlign w:val="bottom"/>
            <w:tcBorders>
              <w:bottom w:val="single" w:sz="8" w:color="C0C0C0"/>
            </w:tcBorders>
            <w:shd w:val="clear" w:color="auto" w:fill="C0C0C0"/>
          </w:tcPr>
          <w:p>
            <w:pPr>
              <w:spacing w:after="0"/>
              <w:rPr>
                <w:sz w:val="22"/>
                <w:szCs w:val="22"/>
                <w:color w:val="auto"/>
              </w:rPr>
            </w:pPr>
          </w:p>
        </w:tc>
        <w:tc>
          <w:tcPr>
            <w:tcW w:w="80" w:type="dxa"/>
            <w:vAlign w:val="bottom"/>
            <w:tcBorders>
              <w:bottom w:val="single" w:sz="8" w:color="C0C0C0"/>
            </w:tcBorders>
            <w:shd w:val="clear" w:color="auto" w:fill="C0C0C0"/>
          </w:tcPr>
          <w:p>
            <w:pPr>
              <w:spacing w:after="0"/>
              <w:rPr>
                <w:sz w:val="22"/>
                <w:szCs w:val="22"/>
                <w:color w:val="auto"/>
              </w:rPr>
            </w:pPr>
          </w:p>
        </w:tc>
        <w:tc>
          <w:tcPr>
            <w:tcW w:w="80" w:type="dxa"/>
            <w:vAlign w:val="bottom"/>
            <w:tcBorders>
              <w:bottom w:val="single" w:sz="8" w:color="C0C0C0"/>
            </w:tcBorders>
            <w:shd w:val="clear" w:color="auto" w:fill="C0C0C0"/>
          </w:tcPr>
          <w:p>
            <w:pPr>
              <w:spacing w:after="0"/>
              <w:rPr>
                <w:sz w:val="22"/>
                <w:szCs w:val="22"/>
                <w:color w:val="auto"/>
              </w:rPr>
            </w:pPr>
          </w:p>
        </w:tc>
        <w:tc>
          <w:tcPr>
            <w:tcW w:w="560" w:type="dxa"/>
            <w:vAlign w:val="bottom"/>
            <w:tcBorders>
              <w:bottom w:val="single" w:sz="8" w:color="C0C0C0"/>
            </w:tcBorders>
            <w:shd w:val="clear" w:color="auto" w:fill="C0C0C0"/>
          </w:tcPr>
          <w:p>
            <w:pPr>
              <w:jc w:val="right"/>
              <w:ind w:right="32"/>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0C0C0"/>
            </w:tcBorders>
            <w:shd w:val="clear" w:color="auto" w:fill="C0C0C0"/>
          </w:tcPr>
          <w:p>
            <w:pPr>
              <w:spacing w:after="0"/>
              <w:rPr>
                <w:sz w:val="22"/>
                <w:szCs w:val="22"/>
                <w:color w:val="auto"/>
              </w:rPr>
            </w:pPr>
          </w:p>
        </w:tc>
        <w:tc>
          <w:tcPr>
            <w:tcW w:w="120" w:type="dxa"/>
            <w:vAlign w:val="bottom"/>
            <w:tcBorders>
              <w:bottom w:val="single" w:sz="8" w:color="C0C0C0"/>
            </w:tcBorders>
            <w:shd w:val="clear" w:color="auto" w:fill="C0C0C0"/>
          </w:tcPr>
          <w:p>
            <w:pPr>
              <w:spacing w:after="0"/>
              <w:rPr>
                <w:sz w:val="22"/>
                <w:szCs w:val="22"/>
                <w:color w:val="auto"/>
              </w:rPr>
            </w:pPr>
          </w:p>
        </w:tc>
        <w:tc>
          <w:tcPr>
            <w:tcW w:w="140" w:type="dxa"/>
            <w:vAlign w:val="bottom"/>
            <w:tcBorders>
              <w:bottom w:val="single" w:sz="8" w:color="C0C0C0"/>
            </w:tcBorders>
            <w:shd w:val="clear" w:color="auto" w:fill="C0C0C0"/>
          </w:tcPr>
          <w:p>
            <w:pPr>
              <w:spacing w:after="0"/>
              <w:rPr>
                <w:sz w:val="22"/>
                <w:szCs w:val="22"/>
                <w:color w:val="auto"/>
              </w:rPr>
            </w:pPr>
          </w:p>
        </w:tc>
        <w:tc>
          <w:tcPr>
            <w:tcW w:w="660" w:type="dxa"/>
            <w:vAlign w:val="bottom"/>
            <w:tcBorders>
              <w:bottom w:val="single" w:sz="8" w:color="C0C0C0"/>
            </w:tcBorders>
            <w:gridSpan w:val="2"/>
            <w:shd w:val="clear" w:color="auto" w:fill="C0C0C0"/>
          </w:tcPr>
          <w:p>
            <w:pPr>
              <w:jc w:val="right"/>
              <w:ind w:right="100"/>
              <w:spacing w:after="0"/>
              <w:rPr>
                <w:sz w:val="20"/>
                <w:szCs w:val="20"/>
                <w:color w:val="auto"/>
              </w:rPr>
            </w:pPr>
            <w:r>
              <w:rPr>
                <w:rFonts w:ascii="Arial" w:cs="Arial" w:eastAsia="Arial" w:hAnsi="Arial"/>
                <w:sz w:val="14"/>
                <w:szCs w:val="14"/>
                <w:color w:val="auto"/>
              </w:rPr>
              <w:t>149</w:t>
            </w:r>
          </w:p>
        </w:tc>
        <w:tc>
          <w:tcPr>
            <w:tcW w:w="120" w:type="dxa"/>
            <w:vAlign w:val="bottom"/>
            <w:tcBorders>
              <w:bottom w:val="single" w:sz="8" w:color="C0C0C0"/>
            </w:tcBorders>
            <w:shd w:val="clear" w:color="auto" w:fill="C0C0C0"/>
          </w:tcPr>
          <w:p>
            <w:pPr>
              <w:spacing w:after="0"/>
              <w:rPr>
                <w:sz w:val="22"/>
                <w:szCs w:val="22"/>
                <w:color w:val="auto"/>
              </w:rPr>
            </w:pPr>
          </w:p>
        </w:tc>
        <w:tc>
          <w:tcPr>
            <w:tcW w:w="80" w:type="dxa"/>
            <w:vAlign w:val="bottom"/>
            <w:tcBorders>
              <w:bottom w:val="single" w:sz="8" w:color="C0C0C0"/>
            </w:tcBorders>
            <w:shd w:val="clear" w:color="auto" w:fill="C0C0C0"/>
          </w:tcPr>
          <w:p>
            <w:pPr>
              <w:spacing w:after="0"/>
              <w:rPr>
                <w:sz w:val="22"/>
                <w:szCs w:val="22"/>
                <w:color w:val="auto"/>
              </w:rPr>
            </w:pPr>
          </w:p>
        </w:tc>
        <w:tc>
          <w:tcPr>
            <w:tcW w:w="60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0C0C0"/>
            </w:tcBorders>
            <w:shd w:val="clear" w:color="auto" w:fill="C0C0C0"/>
          </w:tcPr>
          <w:p>
            <w:pPr>
              <w:spacing w:after="0"/>
              <w:rPr>
                <w:sz w:val="22"/>
                <w:szCs w:val="22"/>
                <w:color w:val="auto"/>
              </w:rPr>
            </w:pPr>
          </w:p>
        </w:tc>
        <w:tc>
          <w:tcPr>
            <w:tcW w:w="120" w:type="dxa"/>
            <w:vAlign w:val="bottom"/>
            <w:tcBorders>
              <w:bottom w:val="single" w:sz="8" w:color="C0C0C0"/>
            </w:tcBorders>
            <w:shd w:val="clear" w:color="auto" w:fill="C0C0C0"/>
          </w:tcPr>
          <w:p>
            <w:pPr>
              <w:spacing w:after="0"/>
              <w:rPr>
                <w:sz w:val="22"/>
                <w:szCs w:val="22"/>
                <w:color w:val="auto"/>
              </w:rPr>
            </w:pPr>
          </w:p>
        </w:tc>
        <w:tc>
          <w:tcPr>
            <w:tcW w:w="58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149</w:t>
            </w:r>
          </w:p>
        </w:tc>
      </w:tr>
      <w:tr>
        <w:trPr>
          <w:trHeight w:val="202"/>
        </w:trPr>
        <w:tc>
          <w:tcPr>
            <w:tcW w:w="4360" w:type="dxa"/>
            <w:vAlign w:val="bottom"/>
          </w:tcPr>
          <w:p>
            <w:pPr>
              <w:spacing w:after="0"/>
              <w:rPr>
                <w:sz w:val="20"/>
                <w:szCs w:val="20"/>
                <w:color w:val="auto"/>
              </w:rPr>
            </w:pPr>
            <w:r>
              <w:rPr>
                <w:rFonts w:ascii="Arial" w:cs="Arial" w:eastAsia="Arial" w:hAnsi="Arial"/>
                <w:sz w:val="14"/>
                <w:szCs w:val="14"/>
                <w:color w:val="auto"/>
              </w:rPr>
              <w:t>Common stock warrants exercised</w:t>
            </w:r>
          </w:p>
        </w:tc>
        <w:tc>
          <w:tcPr>
            <w:tcW w:w="760" w:type="dxa"/>
            <w:vAlign w:val="bottom"/>
            <w:gridSpan w:val="3"/>
          </w:tcPr>
          <w:p>
            <w:pPr>
              <w:jc w:val="right"/>
              <w:spacing w:after="0"/>
              <w:rPr>
                <w:sz w:val="20"/>
                <w:szCs w:val="20"/>
                <w:color w:val="auto"/>
              </w:rPr>
            </w:pPr>
            <w:r>
              <w:rPr>
                <w:rFonts w:ascii="Arial" w:cs="Arial" w:eastAsia="Arial" w:hAnsi="Arial"/>
                <w:sz w:val="14"/>
                <w:szCs w:val="14"/>
                <w:color w:val="auto"/>
              </w:rPr>
              <w:t>188</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gridSpan w:val="2"/>
          </w:tcPr>
          <w:p>
            <w:pPr>
              <w:jc w:val="right"/>
              <w:spacing w:after="0"/>
              <w:rPr>
                <w:sz w:val="20"/>
                <w:szCs w:val="20"/>
                <w:color w:val="auto"/>
              </w:rPr>
            </w:pPr>
            <w:r>
              <w:rPr>
                <w:rFonts w:ascii="Arial" w:cs="Arial" w:eastAsia="Arial" w:hAnsi="Arial"/>
                <w:sz w:val="14"/>
                <w:szCs w:val="14"/>
                <w:color w:val="auto"/>
              </w:rPr>
              <w:t>3</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2"/>
          </w:tcPr>
          <w:p>
            <w:pPr>
              <w:jc w:val="right"/>
              <w:ind w:right="132"/>
              <w:spacing w:after="0"/>
              <w:rPr>
                <w:sz w:val="20"/>
                <w:szCs w:val="20"/>
                <w:color w:val="auto"/>
              </w:rPr>
            </w:pPr>
            <w:r>
              <w:rPr>
                <w:rFonts w:ascii="Arial" w:cs="Arial" w:eastAsia="Arial" w:hAnsi="Arial"/>
                <w:sz w:val="14"/>
                <w:szCs w:val="14"/>
                <w:color w:val="auto"/>
              </w:rPr>
              <w:t>865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868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868</w:t>
            </w:r>
          </w:p>
        </w:tc>
      </w:tr>
      <w:tr>
        <w:trPr>
          <w:trHeight w:val="41"/>
        </w:trPr>
        <w:tc>
          <w:tcPr>
            <w:tcW w:w="4360" w:type="dxa"/>
            <w:vAlign w:val="bottom"/>
            <w:tcBorders>
              <w:bottom w:val="single" w:sz="8" w:color="C0C0C0"/>
            </w:tcBorders>
          </w:tcPr>
          <w:p>
            <w:pPr>
              <w:spacing w:after="0"/>
              <w:rPr>
                <w:sz w:val="3"/>
                <w:szCs w:val="3"/>
                <w:color w:val="auto"/>
              </w:rPr>
            </w:pPr>
          </w:p>
        </w:tc>
        <w:tc>
          <w:tcPr>
            <w:tcW w:w="220" w:type="dxa"/>
            <w:vAlign w:val="bottom"/>
            <w:tcBorders>
              <w:bottom w:val="single" w:sz="8" w:color="C0C0C0"/>
            </w:tcBorders>
          </w:tcPr>
          <w:p>
            <w:pPr>
              <w:spacing w:after="0"/>
              <w:rPr>
                <w:sz w:val="3"/>
                <w:szCs w:val="3"/>
                <w:color w:val="auto"/>
              </w:rPr>
            </w:pPr>
          </w:p>
        </w:tc>
        <w:tc>
          <w:tcPr>
            <w:tcW w:w="54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C0C0C0"/>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C0C0C0"/>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gridSpan w:val="3"/>
          </w:tcPr>
          <w:p>
            <w:pPr>
              <w:spacing w:after="0"/>
              <w:rPr>
                <w:sz w:val="3"/>
                <w:szCs w:val="3"/>
                <w:color w:val="auto"/>
              </w:rPr>
            </w:pPr>
          </w:p>
        </w:tc>
        <w:tc>
          <w:tcPr>
            <w:tcW w:w="200" w:type="dxa"/>
            <w:vAlign w:val="bottom"/>
            <w:tcBorders>
              <w:bottom w:val="single" w:sz="8" w:color="C0C0C0"/>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Borders>
              <w:bottom w:val="single" w:sz="8" w:color="C0C0C0"/>
            </w:tcBorders>
          </w:tcPr>
          <w:p>
            <w:pPr>
              <w:spacing w:after="0"/>
              <w:rPr>
                <w:sz w:val="3"/>
                <w:szCs w:val="3"/>
                <w:color w:val="auto"/>
              </w:rPr>
            </w:pPr>
          </w:p>
        </w:tc>
        <w:tc>
          <w:tcPr>
            <w:tcW w:w="140" w:type="dxa"/>
            <w:vAlign w:val="bottom"/>
            <w:tcBorders>
              <w:bottom w:val="single" w:sz="8" w:color="C0C0C0"/>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120" w:type="dxa"/>
            <w:vAlign w:val="bottom"/>
            <w:tcBorders>
              <w:bottom w:val="single" w:sz="8" w:color="C0C0C0"/>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120" w:type="dxa"/>
            <w:vAlign w:val="bottom"/>
            <w:tcBorders>
              <w:bottom w:val="single" w:sz="8" w:color="C0C0C0"/>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20" w:type="dxa"/>
            <w:vAlign w:val="bottom"/>
            <w:tcBorders>
              <w:bottom w:val="single" w:sz="8" w:color="C0C0C0"/>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r>
      <w:tr>
        <w:trPr>
          <w:trHeight w:val="217"/>
        </w:trPr>
        <w:tc>
          <w:tcPr>
            <w:tcW w:w="436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4"/>
                <w:szCs w:val="14"/>
                <w:b w:val="1"/>
                <w:bCs w:val="1"/>
                <w:color w:val="auto"/>
              </w:rPr>
              <w:t>Balance at January 31, 2010</w:t>
            </w:r>
          </w:p>
        </w:tc>
        <w:tc>
          <w:tcPr>
            <w:tcW w:w="220" w:type="dxa"/>
            <w:vAlign w:val="bottom"/>
            <w:tcBorders>
              <w:bottom w:val="single" w:sz="8" w:color="C0C0C0"/>
            </w:tcBorders>
            <w:shd w:val="clear" w:color="auto" w:fill="C0C0C0"/>
          </w:tcPr>
          <w:p>
            <w:pPr>
              <w:spacing w:after="0"/>
              <w:rPr>
                <w:sz w:val="18"/>
                <w:szCs w:val="18"/>
                <w:color w:val="auto"/>
              </w:rPr>
            </w:pPr>
          </w:p>
        </w:tc>
        <w:tc>
          <w:tcPr>
            <w:tcW w:w="540" w:type="dxa"/>
            <w:vAlign w:val="bottom"/>
            <w:tcBorders>
              <w:bottom w:val="single" w:sz="8" w:color="C0C0C0"/>
            </w:tcBorders>
            <w:gridSpan w:val="2"/>
            <w:shd w:val="clear" w:color="auto" w:fill="C0C0C0"/>
          </w:tcPr>
          <w:p>
            <w:pPr>
              <w:jc w:val="right"/>
              <w:spacing w:after="0"/>
              <w:rPr>
                <w:sz w:val="20"/>
                <w:szCs w:val="20"/>
                <w:color w:val="auto"/>
              </w:rPr>
            </w:pPr>
            <w:r>
              <w:rPr>
                <w:rFonts w:ascii="Arial" w:cs="Arial" w:eastAsia="Arial" w:hAnsi="Arial"/>
                <w:sz w:val="14"/>
                <w:szCs w:val="14"/>
                <w:color w:val="auto"/>
              </w:rPr>
              <w:t>53,281</w:t>
            </w:r>
          </w:p>
        </w:tc>
        <w:tc>
          <w:tcPr>
            <w:tcW w:w="200" w:type="dxa"/>
            <w:vAlign w:val="bottom"/>
            <w:tcBorders>
              <w:bottom w:val="single" w:sz="8" w:color="C0C0C0"/>
            </w:tcBorders>
            <w:shd w:val="clear" w:color="auto" w:fill="C0C0C0"/>
          </w:tcPr>
          <w:p>
            <w:pPr>
              <w:spacing w:after="0"/>
              <w:rPr>
                <w:sz w:val="18"/>
                <w:szCs w:val="18"/>
                <w:color w:val="auto"/>
              </w:rPr>
            </w:pPr>
          </w:p>
        </w:tc>
        <w:tc>
          <w:tcPr>
            <w:tcW w:w="14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C0C0C0"/>
            </w:tcBorders>
            <w:gridSpan w:val="2"/>
            <w:shd w:val="clear" w:color="auto" w:fill="C0C0C0"/>
          </w:tcPr>
          <w:p>
            <w:pPr>
              <w:jc w:val="right"/>
              <w:spacing w:after="0"/>
              <w:rPr>
                <w:sz w:val="20"/>
                <w:szCs w:val="20"/>
                <w:color w:val="auto"/>
              </w:rPr>
            </w:pPr>
            <w:r>
              <w:rPr>
                <w:rFonts w:ascii="Arial" w:cs="Arial" w:eastAsia="Arial" w:hAnsi="Arial"/>
                <w:sz w:val="14"/>
                <w:szCs w:val="14"/>
                <w:color w:val="auto"/>
              </w:rPr>
              <w:t>533</w:t>
            </w:r>
          </w:p>
        </w:tc>
        <w:tc>
          <w:tcPr>
            <w:tcW w:w="320" w:type="dxa"/>
            <w:vAlign w:val="bottom"/>
            <w:tcBorders>
              <w:bottom w:val="single" w:sz="8" w:color="C0C0C0"/>
            </w:tcBorders>
            <w:gridSpan w:val="2"/>
            <w:shd w:val="clear" w:color="auto" w:fill="C0C0C0"/>
          </w:tcPr>
          <w:p>
            <w:pPr>
              <w:jc w:val="right"/>
              <w:ind w:right="2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0C0C0"/>
            </w:tcBorders>
            <w:gridSpan w:val="4"/>
            <w:shd w:val="clear" w:color="auto" w:fill="C0C0C0"/>
          </w:tcPr>
          <w:p>
            <w:pPr>
              <w:jc w:val="right"/>
              <w:ind w:right="132"/>
              <w:spacing w:after="0"/>
              <w:rPr>
                <w:sz w:val="20"/>
                <w:szCs w:val="20"/>
                <w:color w:val="auto"/>
              </w:rPr>
            </w:pPr>
            <w:r>
              <w:rPr>
                <w:rFonts w:ascii="Arial" w:cs="Arial" w:eastAsia="Arial" w:hAnsi="Arial"/>
                <w:sz w:val="14"/>
                <w:szCs w:val="14"/>
                <w:color w:val="auto"/>
              </w:rPr>
              <w:t>433,632</w:t>
            </w:r>
          </w:p>
        </w:tc>
        <w:tc>
          <w:tcPr>
            <w:tcW w:w="100" w:type="dxa"/>
            <w:vAlign w:val="bottom"/>
            <w:tcBorders>
              <w:left w:val="single" w:sz="8" w:color="C0C0C0"/>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0C0C0"/>
            </w:tcBorders>
            <w:shd w:val="clear" w:color="auto" w:fill="C0C0C0"/>
          </w:tcPr>
          <w:p>
            <w:pPr>
              <w:spacing w:after="0"/>
              <w:rPr>
                <w:sz w:val="18"/>
                <w:szCs w:val="18"/>
                <w:color w:val="auto"/>
              </w:rPr>
            </w:pPr>
          </w:p>
        </w:tc>
        <w:tc>
          <w:tcPr>
            <w:tcW w:w="80" w:type="dxa"/>
            <w:vAlign w:val="bottom"/>
            <w:tcBorders>
              <w:bottom w:val="single" w:sz="8" w:color="C0C0C0"/>
            </w:tcBorders>
            <w:shd w:val="clear" w:color="auto" w:fill="C0C0C0"/>
          </w:tcPr>
          <w:p>
            <w:pPr>
              <w:spacing w:after="0"/>
              <w:rPr>
                <w:sz w:val="18"/>
                <w:szCs w:val="18"/>
                <w:color w:val="auto"/>
              </w:rPr>
            </w:pPr>
          </w:p>
        </w:tc>
        <w:tc>
          <w:tcPr>
            <w:tcW w:w="50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w w:val="84"/>
              </w:rPr>
              <w:t>(26,333)</w:t>
            </w:r>
          </w:p>
        </w:tc>
        <w:tc>
          <w:tcPr>
            <w:tcW w:w="80" w:type="dxa"/>
            <w:vAlign w:val="bottom"/>
            <w:tcBorders>
              <w:bottom w:val="single" w:sz="8" w:color="C0C0C0"/>
            </w:tcBorders>
            <w:shd w:val="clear" w:color="auto" w:fill="C0C0C0"/>
          </w:tcPr>
          <w:p>
            <w:pPr>
              <w:spacing w:after="0"/>
              <w:rPr>
                <w:sz w:val="18"/>
                <w:szCs w:val="18"/>
                <w:color w:val="auto"/>
              </w:rPr>
            </w:pPr>
          </w:p>
        </w:tc>
        <w:tc>
          <w:tcPr>
            <w:tcW w:w="140" w:type="dxa"/>
            <w:vAlign w:val="bottom"/>
            <w:tcBorders>
              <w:bottom w:val="single" w:sz="8" w:color="C0C0C0"/>
            </w:tcBorders>
            <w:shd w:val="clear" w:color="auto" w:fill="C0C0C0"/>
          </w:tcPr>
          <w:p>
            <w:pPr>
              <w:spacing w:after="0"/>
              <w:rPr>
                <w:sz w:val="18"/>
                <w:szCs w:val="18"/>
                <w:color w:val="auto"/>
              </w:rPr>
            </w:pPr>
          </w:p>
        </w:tc>
        <w:tc>
          <w:tcPr>
            <w:tcW w:w="80" w:type="dxa"/>
            <w:vAlign w:val="bottom"/>
            <w:tcBorders>
              <w:bottom w:val="single" w:sz="8" w:color="C0C0C0"/>
            </w:tcBorders>
            <w:shd w:val="clear" w:color="auto" w:fill="C0C0C0"/>
          </w:tcPr>
          <w:p>
            <w:pPr>
              <w:jc w:val="center"/>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0C0C0"/>
            </w:tcBorders>
            <w:shd w:val="clear" w:color="auto" w:fill="C0C0C0"/>
          </w:tcPr>
          <w:p>
            <w:pPr>
              <w:spacing w:after="0"/>
              <w:rPr>
                <w:sz w:val="18"/>
                <w:szCs w:val="18"/>
                <w:color w:val="auto"/>
              </w:rPr>
            </w:pPr>
          </w:p>
        </w:tc>
        <w:tc>
          <w:tcPr>
            <w:tcW w:w="56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(444)</w:t>
            </w:r>
          </w:p>
        </w:tc>
        <w:tc>
          <w:tcPr>
            <w:tcW w:w="100" w:type="dxa"/>
            <w:vAlign w:val="bottom"/>
            <w:tcBorders>
              <w:bottom w:val="single" w:sz="8" w:color="C0C0C0"/>
            </w:tcBorders>
            <w:shd w:val="clear" w:color="auto" w:fill="C0C0C0"/>
          </w:tcPr>
          <w:p>
            <w:pPr>
              <w:spacing w:after="0"/>
              <w:rPr>
                <w:sz w:val="18"/>
                <w:szCs w:val="18"/>
                <w:color w:val="auto"/>
              </w:rPr>
            </w:pPr>
          </w:p>
        </w:tc>
        <w:tc>
          <w:tcPr>
            <w:tcW w:w="260" w:type="dxa"/>
            <w:vAlign w:val="bottom"/>
            <w:tcBorders>
              <w:bottom w:val="single" w:sz="8" w:color="C0C0C0"/>
            </w:tcBorders>
            <w:gridSpan w:val="2"/>
            <w:shd w:val="clear" w:color="auto" w:fill="C0C0C0"/>
          </w:tcPr>
          <w:p>
            <w:pPr>
              <w:jc w:val="right"/>
              <w:ind w:right="12"/>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0C0C0"/>
            </w:tcBorders>
            <w:gridSpan w:val="2"/>
            <w:shd w:val="clear" w:color="auto" w:fill="C0C0C0"/>
          </w:tcPr>
          <w:p>
            <w:pPr>
              <w:jc w:val="right"/>
              <w:ind w:right="100"/>
              <w:spacing w:after="0"/>
              <w:rPr>
                <w:sz w:val="20"/>
                <w:szCs w:val="20"/>
                <w:color w:val="auto"/>
              </w:rPr>
            </w:pPr>
            <w:r>
              <w:rPr>
                <w:rFonts w:ascii="Arial" w:cs="Arial" w:eastAsia="Arial" w:hAnsi="Arial"/>
                <w:sz w:val="14"/>
                <w:szCs w:val="14"/>
                <w:color w:val="auto"/>
              </w:rPr>
              <w:t>407,388</w:t>
            </w:r>
          </w:p>
        </w:tc>
        <w:tc>
          <w:tcPr>
            <w:tcW w:w="200" w:type="dxa"/>
            <w:vAlign w:val="bottom"/>
            <w:tcBorders>
              <w:bottom w:val="single" w:sz="8" w:color="C0C0C0"/>
            </w:tcBorders>
            <w:gridSpan w:val="2"/>
            <w:shd w:val="clear" w:color="auto" w:fill="C0C0C0"/>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51,051</w:t>
            </w:r>
          </w:p>
        </w:tc>
        <w:tc>
          <w:tcPr>
            <w:tcW w:w="340" w:type="dxa"/>
            <w:vAlign w:val="bottom"/>
            <w:tcBorders>
              <w:bottom w:val="single" w:sz="8" w:color="C0C0C0"/>
            </w:tcBorders>
            <w:gridSpan w:val="2"/>
            <w:shd w:val="clear" w:color="auto" w:fill="C0C0C0"/>
          </w:tcPr>
          <w:p>
            <w:pPr>
              <w:jc w:val="right"/>
              <w:ind w:right="20"/>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4"/>
                <w:szCs w:val="14"/>
                <w:color w:val="auto"/>
              </w:rPr>
              <w:t>458,439</w:t>
            </w:r>
          </w:p>
        </w:tc>
      </w:tr>
      <w:tr>
        <w:trPr>
          <w:trHeight w:val="27"/>
        </w:trPr>
        <w:tc>
          <w:tcPr>
            <w:tcW w:w="4360" w:type="dxa"/>
            <w:vAlign w:val="bottom"/>
            <w:shd w:val="clear" w:color="auto" w:fill="C0C0C0"/>
          </w:tcPr>
          <w:p>
            <w:pPr>
              <w:spacing w:after="0"/>
              <w:rPr>
                <w:sz w:val="2"/>
                <w:szCs w:val="2"/>
                <w:color w:val="auto"/>
              </w:rPr>
            </w:pPr>
          </w:p>
        </w:tc>
        <w:tc>
          <w:tcPr>
            <w:tcW w:w="220" w:type="dxa"/>
            <w:vAlign w:val="bottom"/>
            <w:shd w:val="clear" w:color="auto" w:fill="C0C0C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0" w:type="dxa"/>
            <w:vAlign w:val="bottom"/>
            <w:shd w:val="clear" w:color="auto" w:fill="C0C0C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shd w:val="clear" w:color="auto" w:fill="C0C0C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shd w:val="clear" w:color="auto" w:fill="C0C0C0"/>
          </w:tcPr>
          <w:p>
            <w:pPr>
              <w:spacing w:after="0"/>
              <w:rPr>
                <w:sz w:val="2"/>
                <w:szCs w:val="2"/>
                <w:color w:val="auto"/>
              </w:rPr>
            </w:pPr>
          </w:p>
        </w:tc>
        <w:tc>
          <w:tcPr>
            <w:tcW w:w="100" w:type="dxa"/>
            <w:vAlign w:val="bottom"/>
            <w:tcBorders>
              <w:left w:val="single" w:sz="8" w:color="C0C0C0"/>
            </w:tcBorders>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shd w:val="clear" w:color="auto" w:fill="C0C0C0"/>
          </w:tcPr>
          <w:p>
            <w:pPr>
              <w:spacing w:after="0"/>
              <w:rPr>
                <w:sz w:val="2"/>
                <w:szCs w:val="2"/>
                <w:color w:val="auto"/>
              </w:rPr>
            </w:pPr>
          </w:p>
        </w:tc>
        <w:tc>
          <w:tcPr>
            <w:tcW w:w="140" w:type="dxa"/>
            <w:vAlign w:val="bottom"/>
            <w:shd w:val="clear" w:color="auto" w:fill="C0C0C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shd w:val="clear" w:color="auto" w:fill="C0C0C0"/>
          </w:tcPr>
          <w:p>
            <w:pPr>
              <w:spacing w:after="0"/>
              <w:rPr>
                <w:sz w:val="2"/>
                <w:szCs w:val="2"/>
                <w:color w:val="auto"/>
              </w:rPr>
            </w:pPr>
          </w:p>
        </w:tc>
        <w:tc>
          <w:tcPr>
            <w:tcW w:w="120" w:type="dxa"/>
            <w:vAlign w:val="bottom"/>
            <w:shd w:val="clear" w:color="auto" w:fill="C0C0C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shd w:val="clear" w:color="auto" w:fill="C0C0C0"/>
          </w:tcPr>
          <w:p>
            <w:pPr>
              <w:spacing w:after="0"/>
              <w:rPr>
                <w:sz w:val="2"/>
                <w:szCs w:val="2"/>
                <w:color w:val="auto"/>
              </w:rPr>
            </w:pPr>
          </w:p>
        </w:tc>
        <w:tc>
          <w:tcPr>
            <w:tcW w:w="120" w:type="dxa"/>
            <w:vAlign w:val="bottom"/>
            <w:shd w:val="clear" w:color="auto" w:fill="C0C0C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shd w:val="clear" w:color="auto" w:fill="C0C0C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r>
    </w:tbl>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NOTE 3 - JOINT VENTURE</w:t>
      </w:r>
    </w:p>
    <w:p>
      <w:pPr>
        <w:spacing w:after="0" w:line="285" w:lineRule="exact"/>
        <w:rPr>
          <w:sz w:val="20"/>
          <w:szCs w:val="20"/>
          <w:color w:val="auto"/>
        </w:rPr>
      </w:pPr>
    </w:p>
    <w:p>
      <w:pPr>
        <w:jc w:val="both"/>
        <w:ind w:right="60" w:firstLine="270"/>
        <w:spacing w:after="0" w:line="298" w:lineRule="auto"/>
        <w:rPr>
          <w:sz w:val="20"/>
          <w:szCs w:val="20"/>
          <w:color w:val="auto"/>
        </w:rPr>
      </w:pPr>
      <w:r>
        <w:rPr>
          <w:rFonts w:ascii="Arial" w:cs="Arial" w:eastAsia="Arial" w:hAnsi="Arial"/>
          <w:sz w:val="16"/>
          <w:szCs w:val="16"/>
          <w:color w:val="auto"/>
        </w:rPr>
        <w:t>On May 5, 2006, Photronics and Micron Technology, Inc. ("Micron") entered into the MP Mask joint venture, which develops and produces photomasks for leading-edge and advanced next generation semiconductors. As part of the formation of the joint venture, Micron contributed its existing photomask technology center located at its Boise, Idaho, headquarters to MP Mask and Photronics invested $135 million in exchange for a 49.99% interest in MP Mask (to which $64.2 million of the original investment was allocated), a license for photomask technology of Micron, and certain supply agreements.</w:t>
      </w:r>
    </w:p>
    <w:p>
      <w:pPr>
        <w:spacing w:after="0" w:line="221" w:lineRule="exact"/>
        <w:rPr>
          <w:sz w:val="20"/>
          <w:szCs w:val="20"/>
          <w:color w:val="auto"/>
        </w:rPr>
      </w:pPr>
    </w:p>
    <w:p>
      <w:pPr>
        <w:ind w:right="100" w:firstLine="270"/>
        <w:spacing w:after="0" w:line="289" w:lineRule="auto"/>
        <w:rPr>
          <w:sz w:val="20"/>
          <w:szCs w:val="20"/>
          <w:color w:val="auto"/>
        </w:rPr>
      </w:pPr>
      <w:r>
        <w:rPr>
          <w:rFonts w:ascii="Arial" w:cs="Arial" w:eastAsia="Arial" w:hAnsi="Arial"/>
          <w:sz w:val="16"/>
          <w:szCs w:val="16"/>
          <w:color w:val="auto"/>
        </w:rPr>
        <w:t>This joint venture is a variable interest entity ("VIE") (as that term is defined in the Accounting Standards Codification ("ASC") ) primarily because all costs of the joint venture will be passed on to the Company and Micron through purchase agreements they have entered into with the joint venture. In accordance with accounting guidance issued by the Financial Accounting Standards Board (“FASB”) in June 2009, the Company, in its first quarter of fiscal 2011, performed an analysis to ascertain whether its interest in MP Mask gives it a controlling financial interest in this VIE. The purpose of this determination was to identify the primary beneficiary (which is defined in the ASC as the entity that consolidates a VIE) of the VIE. As a result of the analysis, the Company determined that Micron is the primary beneficiary of the VIE, by virtue of its greater voting power, if necessary, within MP Mask’s Board of Managers, thereby giving it the power to direct the activities of MP Mask that most significantly impact its economic performance, which includes decision making authority in the ordinary course of business, as well as the purchase of a majority of the products produced by the VIE.</w:t>
      </w:r>
    </w:p>
    <w:p>
      <w:pPr>
        <w:spacing w:after="0" w:line="226" w:lineRule="exact"/>
        <w:rPr>
          <w:sz w:val="20"/>
          <w:szCs w:val="20"/>
          <w:color w:val="auto"/>
        </w:rPr>
      </w:pPr>
    </w:p>
    <w:p>
      <w:pPr>
        <w:ind w:right="80" w:firstLine="270"/>
        <w:spacing w:after="0" w:line="298" w:lineRule="auto"/>
        <w:rPr>
          <w:sz w:val="20"/>
          <w:szCs w:val="20"/>
          <w:color w:val="auto"/>
        </w:rPr>
      </w:pPr>
      <w:r>
        <w:rPr>
          <w:rFonts w:ascii="Arial" w:cs="Arial" w:eastAsia="Arial" w:hAnsi="Arial"/>
          <w:sz w:val="16"/>
          <w:szCs w:val="16"/>
          <w:color w:val="auto"/>
        </w:rPr>
        <w:t>The Company has utilized MP Mask for both high-end IC photomask production and research and development purposes. MP Mask charges its variable interest holders based on their actual usage of its facility. MP Mask separately charges for any research and development activities it engages in at the requests of its owners. The Company recorded cost of sales of $3.5 million and $1.2 million during the three month periods ended January 30, 2011 and January 31, 2010, respectively, and research and development expenses of $0.2 million during each of the three month periods.</w:t>
      </w:r>
    </w:p>
    <w:p>
      <w:pPr>
        <w:spacing w:after="0" w:line="221" w:lineRule="exact"/>
        <w:rPr>
          <w:sz w:val="20"/>
          <w:szCs w:val="20"/>
          <w:color w:val="auto"/>
        </w:rPr>
      </w:pPr>
    </w:p>
    <w:p>
      <w:pPr>
        <w:ind w:firstLine="270"/>
        <w:spacing w:after="0" w:line="288" w:lineRule="auto"/>
        <w:rPr>
          <w:sz w:val="20"/>
          <w:szCs w:val="20"/>
          <w:color w:val="auto"/>
        </w:rPr>
      </w:pPr>
      <w:r>
        <w:rPr>
          <w:rFonts w:ascii="Arial" w:cs="Arial" w:eastAsia="Arial" w:hAnsi="Arial"/>
          <w:sz w:val="16"/>
          <w:szCs w:val="16"/>
          <w:color w:val="auto"/>
        </w:rPr>
        <w:t>MP Mask is governed by a Board of Managers, appointed by Micron and the Company. Since MP Mask's inception, Micron, as a result of its majority ownership, has appointed the majority of its managers. The number of managers appointed by each party is subject to change as ownership interests change. Under the MP mask joint venture operating agreement, the Company may be required to make additional capital contributions to the joint venture up to the maximum amount defined in the operating agreement. However, should the Board of Managers determine that further additional funding is required, the joint venture shall pursue its own financing. If the joint venture is unable to obtain its own financing, it may request additional capital contributions from the Company. Should the Company choose not to make a requested contribution to the joint venture, its ownership interest may be reduced. The Company made an additional capital contribution of $4 million to MP Mask during its first quarter of fiscal 2011 related to a capital call requested by the joint venture. The Company did not make any contributions to MP Mask during its first quarter of fiscal 2010, and did not receive any distributions from MP Mask during its first quarter of fiscal 2011 or 2010.</w:t>
      </w:r>
    </w:p>
    <w:p>
      <w:pPr>
        <w:spacing w:after="0" w:line="228" w:lineRule="exact"/>
        <w:rPr>
          <w:sz w:val="20"/>
          <w:szCs w:val="20"/>
          <w:color w:val="auto"/>
        </w:rPr>
      </w:pPr>
    </w:p>
    <w:p>
      <w:pPr>
        <w:ind w:right="120" w:firstLine="270"/>
        <w:spacing w:after="0" w:line="256" w:lineRule="auto"/>
        <w:rPr>
          <w:sz w:val="20"/>
          <w:szCs w:val="20"/>
          <w:color w:val="auto"/>
        </w:rPr>
      </w:pPr>
      <w:r>
        <w:rPr>
          <w:rFonts w:ascii="Arial" w:cs="Arial" w:eastAsia="Arial" w:hAnsi="Arial"/>
          <w:sz w:val="18"/>
          <w:szCs w:val="18"/>
          <w:color w:val="auto"/>
        </w:rPr>
        <w:t>The Company's investment in the VIE, which represents its maximum exposure to loss, was $65.8 million at January 30, 2011 and $61.1 million at October 31, 2010. These amounts are reported in the Company's condensed consolidated balance sheets as "Investment in joint venture". The Company recorded income from its investment in the VIE of $0.7 million in its first quarter of fiscal 2011, which is included in "Investment and other income, net" in its condensed consolidated statement of income.</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611" w:right="25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28"/>
        </w:trPr>
        <w:tc>
          <w:tcPr>
            <w:tcW w:w="6940" w:type="dxa"/>
            <w:vAlign w:val="bottom"/>
          </w:tcPr>
          <w:p>
            <w:pPr>
              <w:spacing w:after="0"/>
              <w:rPr>
                <w:sz w:val="20"/>
                <w:szCs w:val="20"/>
                <w:color w:val="auto"/>
              </w:rPr>
            </w:pPr>
            <w:r>
              <w:rPr>
                <w:rFonts w:ascii="Arial" w:cs="Arial" w:eastAsia="Arial" w:hAnsi="Arial"/>
                <w:sz w:val="18"/>
                <w:szCs w:val="18"/>
                <w:b w:val="1"/>
                <w:bCs w:val="1"/>
                <w:color w:val="auto"/>
              </w:rPr>
              <w:t>NOTE 4 - LONG-TERM BORROWINGS</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486"/>
        </w:trPr>
        <w:tc>
          <w:tcPr>
            <w:tcW w:w="6940" w:type="dxa"/>
            <w:vAlign w:val="bottom"/>
          </w:tcPr>
          <w:p>
            <w:pPr>
              <w:ind w:left="280"/>
              <w:spacing w:after="0"/>
              <w:rPr>
                <w:sz w:val="20"/>
                <w:szCs w:val="20"/>
                <w:color w:val="auto"/>
              </w:rPr>
            </w:pPr>
            <w:r>
              <w:rPr>
                <w:rFonts w:ascii="Arial" w:cs="Arial" w:eastAsia="Arial" w:hAnsi="Arial"/>
                <w:sz w:val="18"/>
                <w:szCs w:val="18"/>
                <w:color w:val="auto"/>
              </w:rPr>
              <w:t>Long-term borrowings consist of the following:</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473"/>
        </w:trPr>
        <w:tc>
          <w:tcPr>
            <w:tcW w:w="6940" w:type="dxa"/>
            <w:vAlign w:val="bottom"/>
          </w:tcPr>
          <w:p>
            <w:pPr>
              <w:spacing w:after="0"/>
              <w:rPr>
                <w:sz w:val="24"/>
                <w:szCs w:val="24"/>
                <w:color w:val="auto"/>
              </w:rPr>
            </w:pPr>
          </w:p>
        </w:tc>
        <w:tc>
          <w:tcPr>
            <w:tcW w:w="1320" w:type="dxa"/>
            <w:vAlign w:val="bottom"/>
            <w:gridSpan w:val="4"/>
          </w:tcPr>
          <w:p>
            <w:pPr>
              <w:ind w:left="220"/>
              <w:spacing w:after="0"/>
              <w:rPr>
                <w:sz w:val="20"/>
                <w:szCs w:val="20"/>
                <w:color w:val="auto"/>
              </w:rPr>
            </w:pPr>
            <w:r>
              <w:rPr>
                <w:rFonts w:ascii="Arial" w:cs="Arial" w:eastAsia="Arial" w:hAnsi="Arial"/>
                <w:sz w:val="18"/>
                <w:szCs w:val="18"/>
                <w:b w:val="1"/>
                <w:bCs w:val="1"/>
                <w:color w:val="auto"/>
              </w:rPr>
              <w:t>January 30,</w:t>
            </w:r>
          </w:p>
        </w:tc>
        <w:tc>
          <w:tcPr>
            <w:tcW w:w="880" w:type="dxa"/>
            <w:vAlign w:val="bottom"/>
            <w:gridSpan w:val="2"/>
          </w:tcPr>
          <w:p>
            <w:pPr>
              <w:spacing w:after="0"/>
              <w:rPr>
                <w:sz w:val="20"/>
                <w:szCs w:val="20"/>
                <w:color w:val="auto"/>
              </w:rPr>
            </w:pPr>
            <w:r>
              <w:rPr>
                <w:rFonts w:ascii="Arial" w:cs="Arial" w:eastAsia="Arial" w:hAnsi="Arial"/>
                <w:sz w:val="18"/>
                <w:szCs w:val="18"/>
                <w:b w:val="1"/>
                <w:bCs w:val="1"/>
                <w:color w:val="auto"/>
                <w:w w:val="86"/>
              </w:rPr>
              <w:t>October 31,</w:t>
            </w:r>
          </w:p>
        </w:tc>
      </w:tr>
      <w:tr>
        <w:trPr>
          <w:trHeight w:val="252"/>
        </w:trPr>
        <w:tc>
          <w:tcPr>
            <w:tcW w:w="6940" w:type="dxa"/>
            <w:vAlign w:val="bottom"/>
            <w:tcBorders>
              <w:bottom w:val="single" w:sz="8" w:color="C0C0C0"/>
            </w:tcBorders>
          </w:tcPr>
          <w:p>
            <w:pPr>
              <w:spacing w:after="0"/>
              <w:rPr>
                <w:sz w:val="21"/>
                <w:szCs w:val="21"/>
                <w:color w:val="auto"/>
              </w:rPr>
            </w:pPr>
          </w:p>
        </w:tc>
        <w:tc>
          <w:tcPr>
            <w:tcW w:w="220" w:type="dxa"/>
            <w:vAlign w:val="bottom"/>
            <w:tcBorders>
              <w:bottom w:val="single" w:sz="8" w:color="C0C0C0"/>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2011</w:t>
            </w:r>
          </w:p>
        </w:tc>
        <w:tc>
          <w:tcPr>
            <w:tcW w:w="220" w:type="dxa"/>
            <w:vAlign w:val="bottom"/>
            <w:tcBorders>
              <w:bottom w:val="single" w:sz="8" w:color="C0C0C0"/>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2010</w:t>
            </w:r>
          </w:p>
        </w:tc>
      </w:tr>
      <w:tr>
        <w:trPr>
          <w:trHeight w:val="228"/>
        </w:trPr>
        <w:tc>
          <w:tcPr>
            <w:tcW w:w="6940" w:type="dxa"/>
            <w:vAlign w:val="bottom"/>
            <w:shd w:val="clear" w:color="auto" w:fill="C0C0C0"/>
          </w:tcPr>
          <w:p>
            <w:pPr>
              <w:spacing w:after="0"/>
              <w:rPr>
                <w:sz w:val="20"/>
                <w:szCs w:val="20"/>
                <w:color w:val="auto"/>
              </w:rPr>
            </w:pPr>
            <w:r>
              <w:rPr>
                <w:rFonts w:ascii="Arial" w:cs="Arial" w:eastAsia="Arial" w:hAnsi="Arial"/>
                <w:sz w:val="18"/>
                <w:szCs w:val="18"/>
                <w:color w:val="auto"/>
              </w:rPr>
              <w:t>5.5% convertible senior notes due</w:t>
            </w:r>
          </w:p>
        </w:tc>
        <w:tc>
          <w:tcPr>
            <w:tcW w:w="220" w:type="dxa"/>
            <w:vAlign w:val="bottom"/>
            <w:shd w:val="clear" w:color="auto" w:fill="C0C0C0"/>
          </w:tcPr>
          <w:p>
            <w:pPr>
              <w:spacing w:after="0"/>
              <w:rPr>
                <w:sz w:val="19"/>
                <w:szCs w:val="19"/>
                <w:color w:val="auto"/>
              </w:rPr>
            </w:pPr>
          </w:p>
        </w:tc>
        <w:tc>
          <w:tcPr>
            <w:tcW w:w="180" w:type="dxa"/>
            <w:vAlign w:val="bottom"/>
            <w:shd w:val="clear" w:color="auto" w:fill="C0C0C0"/>
          </w:tcPr>
          <w:p>
            <w:pPr>
              <w:spacing w:after="0"/>
              <w:rPr>
                <w:sz w:val="19"/>
                <w:szCs w:val="19"/>
                <w:color w:val="auto"/>
              </w:rPr>
            </w:pPr>
          </w:p>
        </w:tc>
        <w:tc>
          <w:tcPr>
            <w:tcW w:w="700" w:type="dxa"/>
            <w:vAlign w:val="bottom"/>
            <w:shd w:val="clear" w:color="auto" w:fill="C0C0C0"/>
          </w:tcPr>
          <w:p>
            <w:pPr>
              <w:spacing w:after="0"/>
              <w:rPr>
                <w:sz w:val="19"/>
                <w:szCs w:val="19"/>
                <w:color w:val="auto"/>
              </w:rPr>
            </w:pPr>
          </w:p>
        </w:tc>
        <w:tc>
          <w:tcPr>
            <w:tcW w:w="220" w:type="dxa"/>
            <w:vAlign w:val="bottom"/>
            <w:shd w:val="clear" w:color="auto" w:fill="C0C0C0"/>
          </w:tcPr>
          <w:p>
            <w:pPr>
              <w:spacing w:after="0"/>
              <w:rPr>
                <w:sz w:val="19"/>
                <w:szCs w:val="19"/>
                <w:color w:val="auto"/>
              </w:rPr>
            </w:pPr>
          </w:p>
        </w:tc>
        <w:tc>
          <w:tcPr>
            <w:tcW w:w="180" w:type="dxa"/>
            <w:vAlign w:val="bottom"/>
            <w:shd w:val="clear" w:color="auto" w:fill="C0C0C0"/>
          </w:tcPr>
          <w:p>
            <w:pPr>
              <w:spacing w:after="0"/>
              <w:rPr>
                <w:sz w:val="19"/>
                <w:szCs w:val="19"/>
                <w:color w:val="auto"/>
              </w:rPr>
            </w:pPr>
          </w:p>
        </w:tc>
        <w:tc>
          <w:tcPr>
            <w:tcW w:w="700" w:type="dxa"/>
            <w:vAlign w:val="bottom"/>
            <w:shd w:val="clear" w:color="auto" w:fill="C0C0C0"/>
          </w:tcPr>
          <w:p>
            <w:pPr>
              <w:spacing w:after="0"/>
              <w:rPr>
                <w:sz w:val="19"/>
                <w:szCs w:val="19"/>
                <w:color w:val="auto"/>
              </w:rPr>
            </w:pPr>
          </w:p>
        </w:tc>
      </w:tr>
      <w:tr>
        <w:trPr>
          <w:trHeight w:val="259"/>
        </w:trPr>
        <w:tc>
          <w:tcPr>
            <w:tcW w:w="6940" w:type="dxa"/>
            <w:vAlign w:val="bottom"/>
            <w:shd w:val="clear" w:color="auto" w:fill="C0C0C0"/>
          </w:tcPr>
          <w:p>
            <w:pPr>
              <w:ind w:left="320"/>
              <w:spacing w:after="0"/>
              <w:rPr>
                <w:sz w:val="20"/>
                <w:szCs w:val="20"/>
                <w:color w:val="auto"/>
              </w:rPr>
            </w:pPr>
            <w:r>
              <w:rPr>
                <w:rFonts w:ascii="Arial" w:cs="Arial" w:eastAsia="Arial" w:hAnsi="Arial"/>
                <w:sz w:val="18"/>
                <w:szCs w:val="18"/>
                <w:color w:val="auto"/>
              </w:rPr>
              <w:t>on October 1, 2014</w:t>
            </w:r>
          </w:p>
        </w:tc>
        <w:tc>
          <w:tcPr>
            <w:tcW w:w="400" w:type="dxa"/>
            <w:vAlign w:val="bottom"/>
            <w:gridSpan w:val="2"/>
            <w:shd w:val="clear" w:color="auto" w:fill="C0C0C0"/>
          </w:tcPr>
          <w:p>
            <w:pPr>
              <w:ind w:left="2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57,500</w:t>
            </w:r>
          </w:p>
        </w:tc>
        <w:tc>
          <w:tcPr>
            <w:tcW w:w="220" w:type="dxa"/>
            <w:vAlign w:val="bottom"/>
            <w:shd w:val="clear" w:color="auto" w:fill="C0C0C0"/>
          </w:tcPr>
          <w:p>
            <w:pPr>
              <w:spacing w:after="0"/>
              <w:rPr>
                <w:sz w:val="22"/>
                <w:szCs w:val="22"/>
                <w:color w:val="auto"/>
              </w:rPr>
            </w:pPr>
          </w:p>
        </w:tc>
        <w:tc>
          <w:tcPr>
            <w:tcW w:w="180" w:type="dxa"/>
            <w:vAlign w:val="bottom"/>
            <w:shd w:val="clear" w:color="auto" w:fill="C0C0C0"/>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57,500</w:t>
            </w:r>
          </w:p>
        </w:tc>
      </w:tr>
      <w:tr>
        <w:trPr>
          <w:trHeight w:val="228"/>
        </w:trPr>
        <w:tc>
          <w:tcPr>
            <w:tcW w:w="6940" w:type="dxa"/>
            <w:vAlign w:val="bottom"/>
          </w:tcPr>
          <w:p>
            <w:pPr>
              <w:spacing w:after="0"/>
              <w:rPr>
                <w:sz w:val="20"/>
                <w:szCs w:val="20"/>
                <w:color w:val="auto"/>
              </w:rPr>
            </w:pPr>
            <w:r>
              <w:rPr>
                <w:rFonts w:ascii="Arial" w:cs="Arial" w:eastAsia="Arial" w:hAnsi="Arial"/>
                <w:sz w:val="18"/>
                <w:szCs w:val="18"/>
                <w:color w:val="auto"/>
              </w:rPr>
              <w:t>Borrowings under revolving credit facility, which</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43"/>
        </w:trPr>
        <w:tc>
          <w:tcPr>
            <w:tcW w:w="6940" w:type="dxa"/>
            <w:vAlign w:val="bottom"/>
          </w:tcPr>
          <w:p>
            <w:pPr>
              <w:ind w:left="320"/>
              <w:spacing w:after="0"/>
              <w:rPr>
                <w:sz w:val="20"/>
                <w:szCs w:val="20"/>
                <w:color w:val="auto"/>
              </w:rPr>
            </w:pPr>
            <w:r>
              <w:rPr>
                <w:rFonts w:ascii="Arial" w:cs="Arial" w:eastAsia="Arial" w:hAnsi="Arial"/>
                <w:sz w:val="18"/>
                <w:szCs w:val="18"/>
                <w:color w:val="auto"/>
              </w:rPr>
              <w:t>bore interest at a variable rate, as defined (3.8% at</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51"/>
        </w:trPr>
        <w:tc>
          <w:tcPr>
            <w:tcW w:w="6940" w:type="dxa"/>
            <w:vAlign w:val="bottom"/>
          </w:tcPr>
          <w:p>
            <w:pPr>
              <w:ind w:left="620"/>
              <w:spacing w:after="0"/>
              <w:rPr>
                <w:sz w:val="20"/>
                <w:szCs w:val="20"/>
                <w:color w:val="auto"/>
              </w:rPr>
            </w:pPr>
            <w:r>
              <w:rPr>
                <w:rFonts w:ascii="Arial" w:cs="Arial" w:eastAsia="Arial" w:hAnsi="Arial"/>
                <w:sz w:val="18"/>
                <w:szCs w:val="18"/>
                <w:color w:val="auto"/>
              </w:rPr>
              <w:t>October 31, 2010)</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5,000</w:t>
            </w:r>
          </w:p>
        </w:tc>
      </w:tr>
      <w:tr>
        <w:trPr>
          <w:trHeight w:val="235"/>
        </w:trPr>
        <w:tc>
          <w:tcPr>
            <w:tcW w:w="6940" w:type="dxa"/>
            <w:vAlign w:val="bottom"/>
            <w:shd w:val="clear" w:color="auto" w:fill="C0C0C0"/>
          </w:tcPr>
          <w:p>
            <w:pPr>
              <w:spacing w:after="0"/>
              <w:rPr>
                <w:sz w:val="20"/>
                <w:szCs w:val="20"/>
                <w:color w:val="auto"/>
              </w:rPr>
            </w:pPr>
            <w:r>
              <w:rPr>
                <w:rFonts w:ascii="Arial" w:cs="Arial" w:eastAsia="Arial" w:hAnsi="Arial"/>
                <w:sz w:val="18"/>
                <w:szCs w:val="18"/>
                <w:color w:val="auto"/>
              </w:rPr>
              <w:t>8.0% capital lease obligation payable through</w:t>
            </w:r>
          </w:p>
        </w:tc>
        <w:tc>
          <w:tcPr>
            <w:tcW w:w="220" w:type="dxa"/>
            <w:vAlign w:val="bottom"/>
            <w:shd w:val="clear" w:color="auto" w:fill="C0C0C0"/>
          </w:tcPr>
          <w:p>
            <w:pPr>
              <w:spacing w:after="0"/>
              <w:rPr>
                <w:sz w:val="20"/>
                <w:szCs w:val="20"/>
                <w:color w:val="auto"/>
              </w:rPr>
            </w:pPr>
          </w:p>
        </w:tc>
        <w:tc>
          <w:tcPr>
            <w:tcW w:w="180" w:type="dxa"/>
            <w:vAlign w:val="bottom"/>
            <w:shd w:val="clear" w:color="auto" w:fill="C0C0C0"/>
          </w:tcPr>
          <w:p>
            <w:pPr>
              <w:spacing w:after="0"/>
              <w:rPr>
                <w:sz w:val="20"/>
                <w:szCs w:val="20"/>
                <w:color w:val="auto"/>
              </w:rPr>
            </w:pPr>
          </w:p>
        </w:tc>
        <w:tc>
          <w:tcPr>
            <w:tcW w:w="700" w:type="dxa"/>
            <w:vAlign w:val="bottom"/>
            <w:shd w:val="clear" w:color="auto" w:fill="C0C0C0"/>
          </w:tcPr>
          <w:p>
            <w:pPr>
              <w:spacing w:after="0"/>
              <w:rPr>
                <w:sz w:val="20"/>
                <w:szCs w:val="20"/>
                <w:color w:val="auto"/>
              </w:rPr>
            </w:pPr>
          </w:p>
        </w:tc>
        <w:tc>
          <w:tcPr>
            <w:tcW w:w="220" w:type="dxa"/>
            <w:vAlign w:val="bottom"/>
            <w:shd w:val="clear" w:color="auto" w:fill="C0C0C0"/>
          </w:tcPr>
          <w:p>
            <w:pPr>
              <w:spacing w:after="0"/>
              <w:rPr>
                <w:sz w:val="20"/>
                <w:szCs w:val="20"/>
                <w:color w:val="auto"/>
              </w:rPr>
            </w:pPr>
          </w:p>
        </w:tc>
        <w:tc>
          <w:tcPr>
            <w:tcW w:w="180" w:type="dxa"/>
            <w:vAlign w:val="bottom"/>
            <w:shd w:val="clear" w:color="auto" w:fill="C0C0C0"/>
          </w:tcPr>
          <w:p>
            <w:pPr>
              <w:spacing w:after="0"/>
              <w:rPr>
                <w:sz w:val="20"/>
                <w:szCs w:val="20"/>
                <w:color w:val="auto"/>
              </w:rPr>
            </w:pPr>
          </w:p>
        </w:tc>
        <w:tc>
          <w:tcPr>
            <w:tcW w:w="700" w:type="dxa"/>
            <w:vAlign w:val="bottom"/>
            <w:shd w:val="clear" w:color="auto" w:fill="C0C0C0"/>
          </w:tcPr>
          <w:p>
            <w:pPr>
              <w:spacing w:after="0"/>
              <w:rPr>
                <w:sz w:val="20"/>
                <w:szCs w:val="20"/>
                <w:color w:val="auto"/>
              </w:rPr>
            </w:pPr>
          </w:p>
        </w:tc>
      </w:tr>
      <w:tr>
        <w:trPr>
          <w:trHeight w:val="259"/>
        </w:trPr>
        <w:tc>
          <w:tcPr>
            <w:tcW w:w="6940" w:type="dxa"/>
            <w:vAlign w:val="bottom"/>
            <w:shd w:val="clear" w:color="auto" w:fill="C0C0C0"/>
          </w:tcPr>
          <w:p>
            <w:pPr>
              <w:ind w:left="320"/>
              <w:spacing w:after="0"/>
              <w:rPr>
                <w:sz w:val="20"/>
                <w:szCs w:val="20"/>
                <w:color w:val="auto"/>
              </w:rPr>
            </w:pPr>
            <w:r>
              <w:rPr>
                <w:rFonts w:ascii="Arial" w:cs="Arial" w:eastAsia="Arial" w:hAnsi="Arial"/>
                <w:sz w:val="18"/>
                <w:szCs w:val="18"/>
                <w:color w:val="auto"/>
              </w:rPr>
              <w:t>January 2013</w:t>
            </w:r>
          </w:p>
        </w:tc>
        <w:tc>
          <w:tcPr>
            <w:tcW w:w="220" w:type="dxa"/>
            <w:vAlign w:val="bottom"/>
            <w:shd w:val="clear" w:color="auto" w:fill="C0C0C0"/>
          </w:tcPr>
          <w:p>
            <w:pPr>
              <w:spacing w:after="0"/>
              <w:rPr>
                <w:sz w:val="22"/>
                <w:szCs w:val="22"/>
                <w:color w:val="auto"/>
              </w:rPr>
            </w:pPr>
          </w:p>
        </w:tc>
        <w:tc>
          <w:tcPr>
            <w:tcW w:w="180" w:type="dxa"/>
            <w:vAlign w:val="bottom"/>
            <w:shd w:val="clear" w:color="auto" w:fill="C0C0C0"/>
          </w:tcPr>
          <w:p>
            <w:pPr>
              <w:spacing w:after="0"/>
              <w:rPr>
                <w:sz w:val="22"/>
                <w:szCs w:val="22"/>
                <w:color w:val="auto"/>
              </w:rPr>
            </w:pPr>
          </w:p>
        </w:tc>
        <w:tc>
          <w:tcPr>
            <w:tcW w:w="7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14,557</w:t>
            </w:r>
          </w:p>
        </w:tc>
        <w:tc>
          <w:tcPr>
            <w:tcW w:w="220" w:type="dxa"/>
            <w:vAlign w:val="bottom"/>
            <w:shd w:val="clear" w:color="auto" w:fill="C0C0C0"/>
          </w:tcPr>
          <w:p>
            <w:pPr>
              <w:spacing w:after="0"/>
              <w:rPr>
                <w:sz w:val="22"/>
                <w:szCs w:val="22"/>
                <w:color w:val="auto"/>
              </w:rPr>
            </w:pPr>
          </w:p>
        </w:tc>
        <w:tc>
          <w:tcPr>
            <w:tcW w:w="180" w:type="dxa"/>
            <w:vAlign w:val="bottom"/>
            <w:shd w:val="clear" w:color="auto" w:fill="C0C0C0"/>
          </w:tcPr>
          <w:p>
            <w:pPr>
              <w:spacing w:after="0"/>
              <w:rPr>
                <w:sz w:val="22"/>
                <w:szCs w:val="22"/>
                <w:color w:val="auto"/>
              </w:rPr>
            </w:pPr>
          </w:p>
        </w:tc>
        <w:tc>
          <w:tcPr>
            <w:tcW w:w="7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16,220</w:t>
            </w:r>
          </w:p>
        </w:tc>
      </w:tr>
      <w:tr>
        <w:trPr>
          <w:trHeight w:val="228"/>
        </w:trPr>
        <w:tc>
          <w:tcPr>
            <w:tcW w:w="6940" w:type="dxa"/>
            <w:vAlign w:val="bottom"/>
          </w:tcPr>
          <w:p>
            <w:pPr>
              <w:spacing w:after="0"/>
              <w:rPr>
                <w:sz w:val="20"/>
                <w:szCs w:val="20"/>
                <w:color w:val="auto"/>
              </w:rPr>
            </w:pPr>
            <w:r>
              <w:rPr>
                <w:rFonts w:ascii="Arial" w:cs="Arial" w:eastAsia="Arial" w:hAnsi="Arial"/>
                <w:sz w:val="18"/>
                <w:szCs w:val="18"/>
                <w:color w:val="auto"/>
              </w:rPr>
              <w:t>5.6% capital lease obligation payable through</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51"/>
        </w:trPr>
        <w:tc>
          <w:tcPr>
            <w:tcW w:w="6940" w:type="dxa"/>
            <w:vAlign w:val="bottom"/>
          </w:tcPr>
          <w:p>
            <w:pPr>
              <w:ind w:left="320"/>
              <w:spacing w:after="0"/>
              <w:rPr>
                <w:sz w:val="20"/>
                <w:szCs w:val="20"/>
                <w:color w:val="auto"/>
              </w:rPr>
            </w:pPr>
            <w:r>
              <w:rPr>
                <w:rFonts w:ascii="Arial" w:cs="Arial" w:eastAsia="Arial" w:hAnsi="Arial"/>
                <w:sz w:val="18"/>
                <w:szCs w:val="18"/>
                <w:color w:val="auto"/>
              </w:rPr>
              <w:t>October 2012</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7,962</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8,645</w:t>
            </w:r>
          </w:p>
        </w:tc>
      </w:tr>
      <w:tr>
        <w:trPr>
          <w:trHeight w:val="244"/>
        </w:trPr>
        <w:tc>
          <w:tcPr>
            <w:tcW w:w="6940" w:type="dxa"/>
            <w:vAlign w:val="bottom"/>
            <w:shd w:val="clear" w:color="auto" w:fill="C0C0C0"/>
          </w:tcPr>
          <w:p>
            <w:pPr>
              <w:spacing w:after="0"/>
              <w:rPr>
                <w:sz w:val="20"/>
                <w:szCs w:val="20"/>
                <w:color w:val="auto"/>
              </w:rPr>
            </w:pPr>
            <w:r>
              <w:rPr>
                <w:rFonts w:ascii="Arial" w:cs="Arial" w:eastAsia="Arial" w:hAnsi="Arial"/>
                <w:sz w:val="18"/>
                <w:szCs w:val="18"/>
                <w:color w:val="auto"/>
              </w:rPr>
              <w:t>4.75% financing loan with customer</w:t>
            </w:r>
          </w:p>
        </w:tc>
        <w:tc>
          <w:tcPr>
            <w:tcW w:w="220" w:type="dxa"/>
            <w:vAlign w:val="bottom"/>
            <w:shd w:val="clear" w:color="auto" w:fill="C0C0C0"/>
          </w:tcPr>
          <w:p>
            <w:pPr>
              <w:spacing w:after="0"/>
              <w:rPr>
                <w:sz w:val="21"/>
                <w:szCs w:val="21"/>
                <w:color w:val="auto"/>
              </w:rPr>
            </w:pPr>
          </w:p>
        </w:tc>
        <w:tc>
          <w:tcPr>
            <w:tcW w:w="180" w:type="dxa"/>
            <w:vAlign w:val="bottom"/>
            <w:tcBorders>
              <w:bottom w:val="single" w:sz="8" w:color="auto"/>
            </w:tcBorders>
            <w:shd w:val="clear" w:color="auto" w:fill="C0C0C0"/>
          </w:tcPr>
          <w:p>
            <w:pPr>
              <w:spacing w:after="0"/>
              <w:rPr>
                <w:sz w:val="21"/>
                <w:szCs w:val="21"/>
                <w:color w:val="auto"/>
              </w:rPr>
            </w:pPr>
          </w:p>
        </w:tc>
        <w:tc>
          <w:tcPr>
            <w:tcW w:w="7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2,621</w:t>
            </w:r>
          </w:p>
        </w:tc>
        <w:tc>
          <w:tcPr>
            <w:tcW w:w="220" w:type="dxa"/>
            <w:vAlign w:val="bottom"/>
            <w:shd w:val="clear" w:color="auto" w:fill="C0C0C0"/>
          </w:tcPr>
          <w:p>
            <w:pPr>
              <w:spacing w:after="0"/>
              <w:rPr>
                <w:sz w:val="21"/>
                <w:szCs w:val="21"/>
                <w:color w:val="auto"/>
              </w:rPr>
            </w:pPr>
          </w:p>
        </w:tc>
        <w:tc>
          <w:tcPr>
            <w:tcW w:w="180" w:type="dxa"/>
            <w:vAlign w:val="bottom"/>
            <w:tcBorders>
              <w:bottom w:val="single" w:sz="8" w:color="auto"/>
            </w:tcBorders>
            <w:shd w:val="clear" w:color="auto" w:fill="C0C0C0"/>
          </w:tcPr>
          <w:p>
            <w:pPr>
              <w:spacing w:after="0"/>
              <w:rPr>
                <w:sz w:val="21"/>
                <w:szCs w:val="21"/>
                <w:color w:val="auto"/>
              </w:rPr>
            </w:pPr>
          </w:p>
        </w:tc>
        <w:tc>
          <w:tcPr>
            <w:tcW w:w="7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2,954</w:t>
            </w:r>
          </w:p>
        </w:tc>
      </w:tr>
      <w:tr>
        <w:trPr>
          <w:trHeight w:val="235"/>
        </w:trPr>
        <w:tc>
          <w:tcPr>
            <w:tcW w:w="6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82,640</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90,319</w:t>
            </w:r>
          </w:p>
        </w:tc>
      </w:tr>
      <w:tr>
        <w:trPr>
          <w:trHeight w:val="244"/>
        </w:trPr>
        <w:tc>
          <w:tcPr>
            <w:tcW w:w="6940" w:type="dxa"/>
            <w:vAlign w:val="bottom"/>
            <w:shd w:val="clear" w:color="auto" w:fill="C0C0C0"/>
          </w:tcPr>
          <w:p>
            <w:pPr>
              <w:spacing w:after="0"/>
              <w:rPr>
                <w:sz w:val="20"/>
                <w:szCs w:val="20"/>
                <w:color w:val="auto"/>
              </w:rPr>
            </w:pPr>
            <w:r>
              <w:rPr>
                <w:rFonts w:ascii="Arial" w:cs="Arial" w:eastAsia="Arial" w:hAnsi="Arial"/>
                <w:sz w:val="18"/>
                <w:szCs w:val="18"/>
                <w:color w:val="auto"/>
              </w:rPr>
              <w:t>Less current portion</w:t>
            </w:r>
          </w:p>
        </w:tc>
        <w:tc>
          <w:tcPr>
            <w:tcW w:w="220" w:type="dxa"/>
            <w:vAlign w:val="bottom"/>
            <w:shd w:val="clear" w:color="auto" w:fill="C0C0C0"/>
          </w:tcPr>
          <w:p>
            <w:pPr>
              <w:spacing w:after="0"/>
              <w:rPr>
                <w:sz w:val="21"/>
                <w:szCs w:val="21"/>
                <w:color w:val="auto"/>
              </w:rPr>
            </w:pPr>
          </w:p>
        </w:tc>
        <w:tc>
          <w:tcPr>
            <w:tcW w:w="180" w:type="dxa"/>
            <w:vAlign w:val="bottom"/>
            <w:tcBorders>
              <w:bottom w:val="single" w:sz="8" w:color="auto"/>
            </w:tcBorders>
            <w:shd w:val="clear" w:color="auto" w:fill="C0C0C0"/>
          </w:tcPr>
          <w:p>
            <w:pPr>
              <w:spacing w:after="0"/>
              <w:rPr>
                <w:sz w:val="21"/>
                <w:szCs w:val="21"/>
                <w:color w:val="auto"/>
              </w:rPr>
            </w:pPr>
          </w:p>
        </w:tc>
        <w:tc>
          <w:tcPr>
            <w:tcW w:w="7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12,009</w:t>
            </w:r>
          </w:p>
        </w:tc>
        <w:tc>
          <w:tcPr>
            <w:tcW w:w="220" w:type="dxa"/>
            <w:vAlign w:val="bottom"/>
            <w:shd w:val="clear" w:color="auto" w:fill="C0C0C0"/>
          </w:tcPr>
          <w:p>
            <w:pPr>
              <w:spacing w:after="0"/>
              <w:rPr>
                <w:sz w:val="21"/>
                <w:szCs w:val="21"/>
                <w:color w:val="auto"/>
              </w:rPr>
            </w:pPr>
          </w:p>
        </w:tc>
        <w:tc>
          <w:tcPr>
            <w:tcW w:w="180" w:type="dxa"/>
            <w:vAlign w:val="bottom"/>
            <w:tcBorders>
              <w:bottom w:val="single" w:sz="8" w:color="auto"/>
            </w:tcBorders>
            <w:shd w:val="clear" w:color="auto" w:fill="C0C0C0"/>
          </w:tcPr>
          <w:p>
            <w:pPr>
              <w:spacing w:after="0"/>
              <w:rPr>
                <w:sz w:val="21"/>
                <w:szCs w:val="21"/>
                <w:color w:val="auto"/>
              </w:rPr>
            </w:pPr>
          </w:p>
        </w:tc>
        <w:tc>
          <w:tcPr>
            <w:tcW w:w="7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11,467</w:t>
            </w:r>
          </w:p>
        </w:tc>
      </w:tr>
      <w:tr>
        <w:trPr>
          <w:trHeight w:val="250"/>
        </w:trPr>
        <w:tc>
          <w:tcPr>
            <w:tcW w:w="6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70,631</w:t>
            </w: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78,852</w:t>
            </w:r>
          </w:p>
        </w:tc>
      </w:tr>
    </w:tbl>
    <w:p>
      <w:pPr>
        <w:spacing w:after="0" w:line="262" w:lineRule="exact"/>
        <w:rPr>
          <w:sz w:val="20"/>
          <w:szCs w:val="20"/>
          <w:color w:val="auto"/>
        </w:rPr>
      </w:pPr>
    </w:p>
    <w:p>
      <w:pPr>
        <w:ind w:right="100" w:firstLine="270"/>
        <w:spacing w:after="0" w:line="290" w:lineRule="auto"/>
        <w:rPr>
          <w:sz w:val="20"/>
          <w:szCs w:val="20"/>
          <w:color w:val="auto"/>
        </w:rPr>
      </w:pPr>
      <w:r>
        <w:rPr>
          <w:rFonts w:ascii="Arial" w:cs="Arial" w:eastAsia="Arial" w:hAnsi="Arial"/>
          <w:sz w:val="16"/>
          <w:szCs w:val="16"/>
          <w:color w:val="auto"/>
        </w:rPr>
        <w:t>On February 12, 2010, the Company amended its revolving credit facility, which was originally established on June 6, 2007, to a three-year $50 million revolving credit facility ("the credit facility"). At the time of the February 12, 2010, amendment, the then existing revolving credit facility and term loan were repaid in full with borrowings from the credit facility of $20.8 million and, in connection therewith, the Company wrote off $1.0 million of deferred financing fees. On May 7, 2010, the credit facility was further amended to increase its borrowing capacity to $65 million. The credit facility bears interest at LIBOR plus a spread (3.8% at January 30, 2011), as defined in the agreement, based upon the Company's total leverage ratio. On January 5, 2011, a $10 million irrevocable stand-by letter of credit, for the purchase of manufacturing equipment, was issued under the Company's revolving credit facility. As of January 30, 2011, the Company had no outstanding borrowings under the credit facility and $55 million was available for borrowing.</w:t>
      </w:r>
    </w:p>
    <w:p>
      <w:pPr>
        <w:spacing w:after="0" w:line="226" w:lineRule="exact"/>
        <w:rPr>
          <w:sz w:val="20"/>
          <w:szCs w:val="20"/>
          <w:color w:val="auto"/>
        </w:rPr>
      </w:pPr>
    </w:p>
    <w:p>
      <w:pPr>
        <w:jc w:val="both"/>
        <w:ind w:right="100" w:firstLine="270"/>
        <w:spacing w:after="0" w:line="306" w:lineRule="auto"/>
        <w:rPr>
          <w:sz w:val="20"/>
          <w:szCs w:val="20"/>
          <w:color w:val="auto"/>
        </w:rPr>
      </w:pPr>
      <w:r>
        <w:rPr>
          <w:rFonts w:ascii="Arial" w:cs="Arial" w:eastAsia="Arial" w:hAnsi="Arial"/>
          <w:sz w:val="16"/>
          <w:szCs w:val="16"/>
          <w:color w:val="auto"/>
        </w:rPr>
        <w:t>The credit facility, which matures on February 12, 2013, is secured by substantially all of the Company's assets in the United States as well as common stock the Company owns in certain of its foreign subsidiaries. The credit facility includes the following financial covenants: fixed charge coverage ratio, total leverage ratio, minimum unrestricted cash balance, and maximum capital expenditures, all as defined in the agreement.</w:t>
      </w:r>
    </w:p>
    <w:p>
      <w:pPr>
        <w:spacing w:after="0" w:line="215" w:lineRule="exact"/>
        <w:rPr>
          <w:sz w:val="20"/>
          <w:szCs w:val="20"/>
          <w:color w:val="auto"/>
        </w:rPr>
      </w:pPr>
    </w:p>
    <w:p>
      <w:pPr>
        <w:ind w:right="60" w:firstLine="270"/>
        <w:spacing w:after="0" w:line="310" w:lineRule="auto"/>
        <w:rPr>
          <w:sz w:val="20"/>
          <w:szCs w:val="20"/>
          <w:color w:val="auto"/>
        </w:rPr>
      </w:pPr>
      <w:r>
        <w:rPr>
          <w:rFonts w:ascii="Arial" w:cs="Arial" w:eastAsia="Arial" w:hAnsi="Arial"/>
          <w:sz w:val="15"/>
          <w:szCs w:val="15"/>
          <w:color w:val="auto"/>
        </w:rPr>
        <w:t>In May 2009, the Company amended its then existing revolving credit facility and entered into a warrant agreement with its lenders for 2.1 million shares of its common stock. Forty percent of the warrants (0.8 million) were exercisable upon issuance while the remaining warrants were cancelled as a result of the Company's September 2009 early repayment of a portion of the outstanding balance under its June 6, 2007 credit agreement. As of January 30, 2011, approximately 0.5 million warrants had been exercised, and an additional 0.1 million warrants were exercised in February 2011. The warrants, approximately 0.3 million of which remained outstanding at January 30, 2011, are exercisable for one share of the Company's common stock, at an exercise price of $.01 per share. The warrant agreement also includes a net cash settleable put provision exercisable starting in May 2012 and a call provision exercisable starting in May 2013, both of which would be exercisable only if the Company's common stock was not traded on a national exchange. As a result of the aforementioned net cash settleable put provisions, the warrants were initially recorded as a liability (included in other liabilities) and have been subsequently reported at their fair value.</w:t>
      </w:r>
    </w:p>
    <w:p>
      <w:pPr>
        <w:spacing w:after="0" w:line="216" w:lineRule="exact"/>
        <w:rPr>
          <w:sz w:val="20"/>
          <w:szCs w:val="20"/>
          <w:color w:val="auto"/>
        </w:rPr>
      </w:pPr>
    </w:p>
    <w:p>
      <w:pPr>
        <w:ind w:firstLine="270"/>
        <w:spacing w:after="0" w:line="254" w:lineRule="auto"/>
        <w:rPr>
          <w:sz w:val="20"/>
          <w:szCs w:val="20"/>
          <w:color w:val="auto"/>
        </w:rPr>
      </w:pPr>
      <w:r>
        <w:rPr>
          <w:rFonts w:ascii="Arial" w:cs="Arial" w:eastAsia="Arial" w:hAnsi="Arial"/>
          <w:sz w:val="18"/>
          <w:szCs w:val="18"/>
          <w:color w:val="auto"/>
        </w:rPr>
        <w:t>On September 11, 2009, the Company sold, through a public offering, $57.5 million aggregate principal amount of 5.5% convertible senior notes which mature on October 1, 2014. Note holders may convert each $1,000 principal amount of notes to 196.7052 shares of stock (equivalent to an initial conversion price of approximately $5.08 per share of common stock) on or before September 30, 2014. The conversion rate may be increased in the event of a make-whole fundamental change (as defined in the prospectus supplement filed by the Company on September 11, 2009) and the Company may not redeem the notes prior to their maturity date. The net proceeds of the convertible senior notes offering were approximately $54.9 million, which were used to reduce outstanding amounts under the Company’s then existing credit facility.</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611" w:right="259" w:bottom="1440" w:gutter="0" w:footer="0" w:header="0"/>
        </w:sectPr>
      </w:pPr>
    </w:p>
    <w:bookmarkStart w:id="10" w:name="page11"/>
    <w:bookmarkEnd w:id="10"/>
    <w:p>
      <w:pPr>
        <w:ind w:right="140" w:firstLine="270"/>
        <w:spacing w:after="0" w:line="256" w:lineRule="auto"/>
        <w:rPr>
          <w:sz w:val="20"/>
          <w:szCs w:val="20"/>
          <w:color w:val="auto"/>
        </w:rPr>
      </w:pPr>
      <w:r>
        <w:rPr>
          <w:rFonts w:ascii="Arial" w:cs="Arial" w:eastAsia="Arial" w:hAnsi="Arial"/>
          <w:sz w:val="18"/>
          <w:szCs w:val="18"/>
          <w:color w:val="auto"/>
        </w:rPr>
        <w:t>In January 2010 the Company borrowed $3.7 million from a customer to purchase manufacturing equipment. This loan bears interest at 4.75% and will be repaid with product supplied to the customer. Product valued at $0.3 million was shipped to the customer and applied against the loan during the first quarter of fiscal 2011; no product was shipped and applied against the loan during the first quarter of fiscal 2010. The Company estimates that the loan will be fully repaid in fiscal 2014.</w:t>
      </w:r>
    </w:p>
    <w:p>
      <w:pPr>
        <w:spacing w:after="0" w:line="251" w:lineRule="exact"/>
        <w:rPr>
          <w:sz w:val="20"/>
          <w:szCs w:val="20"/>
          <w:color w:val="auto"/>
        </w:rPr>
      </w:pPr>
    </w:p>
    <w:p>
      <w:pPr>
        <w:ind w:firstLine="270"/>
        <w:spacing w:after="0" w:line="289" w:lineRule="auto"/>
        <w:rPr>
          <w:sz w:val="20"/>
          <w:szCs w:val="20"/>
          <w:color w:val="auto"/>
        </w:rPr>
      </w:pPr>
      <w:r>
        <w:rPr>
          <w:rFonts w:ascii="Arial" w:cs="Arial" w:eastAsia="Arial" w:hAnsi="Arial"/>
          <w:sz w:val="16"/>
          <w:szCs w:val="16"/>
          <w:color w:val="auto"/>
        </w:rPr>
        <w:t>In the first quarter of 2008 a capital lease agreement commenced for the U.S. nanoFab facility. Quarterly lease payments, which bore interest at 8%, were $3.8 million through January 2013. This lease was cancelled in the third fiscal quarter of 2009, at which time the Company and Micron (the lessor) entered into a new lease agreement for the facility. Under the provisions of the new lease agreement, quarterly lease payments were reduced from $3.8 million to $2.0 million, the term of the lease was extended from December 31, 2012 to December 31, 2014, and ownership of the property will not transfer to the Company at the end of the lease term. As a result of the new lease agreement, the Company reduced its lease obligation and the carrying value of its assets under capital leases by approximately $28 million. The lease will continue to be accounted for as a capital lease until the end of its original lease term. For the additional two years of the new lease term, the lease will be accounted for as an operating lease. As of January 30, 2011, total capital lease amounts payable were $15.9 million, of which $14.6 million represented principal and $1.3 million represented interest.</w:t>
      </w:r>
    </w:p>
    <w:p>
      <w:pPr>
        <w:spacing w:after="0" w:line="226" w:lineRule="exact"/>
        <w:rPr>
          <w:sz w:val="20"/>
          <w:szCs w:val="20"/>
          <w:color w:val="auto"/>
        </w:rPr>
      </w:pPr>
    </w:p>
    <w:p>
      <w:pPr>
        <w:ind w:right="120" w:firstLine="270"/>
        <w:spacing w:after="0" w:line="259" w:lineRule="auto"/>
        <w:rPr>
          <w:sz w:val="20"/>
          <w:szCs w:val="20"/>
          <w:color w:val="auto"/>
        </w:rPr>
      </w:pPr>
      <w:r>
        <w:rPr>
          <w:rFonts w:ascii="Arial" w:cs="Arial" w:eastAsia="Arial" w:hAnsi="Arial"/>
          <w:sz w:val="18"/>
          <w:szCs w:val="18"/>
          <w:color w:val="auto"/>
        </w:rPr>
        <w:t>In October 2007, the Company entered into a capital lease agreement in the amount of $19.9 million associated with certain equipment. Under the capital lease agreement, the Company is required to maintain the equipment in good working condition, and is required to comply with certain non-financial covenants. Payments under the lease are $0.4 million per month over a 5-year term at a 5.6% interest rate.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COMMON STOCK WARRANTS</w:t>
      </w:r>
    </w:p>
    <w:p>
      <w:pPr>
        <w:spacing w:after="0" w:line="285" w:lineRule="exact"/>
        <w:rPr>
          <w:sz w:val="20"/>
          <w:szCs w:val="20"/>
          <w:color w:val="auto"/>
        </w:rPr>
      </w:pPr>
    </w:p>
    <w:p>
      <w:pPr>
        <w:ind w:firstLine="270"/>
        <w:spacing w:after="0" w:line="289" w:lineRule="auto"/>
        <w:rPr>
          <w:sz w:val="20"/>
          <w:szCs w:val="20"/>
          <w:color w:val="auto"/>
        </w:rPr>
      </w:pPr>
      <w:r>
        <w:rPr>
          <w:rFonts w:ascii="Arial" w:cs="Arial" w:eastAsia="Arial" w:hAnsi="Arial"/>
          <w:sz w:val="16"/>
          <w:szCs w:val="16"/>
          <w:color w:val="auto"/>
        </w:rPr>
        <w:t>On September 10, 2009, the Company entered into two warrant agreements with Intel Capital Corporation to purchase a total of 750,000 shares of the Company's common stock. Under one warrant agreement 500,000 shares of the Company's common stock can be purchased at an exercise price of $4.15 per share and under the second warrant agreement 250,000 shares of the Company's common stock can be purchased at an exercise price of $5.08 per share. The warrant agreements expire on September 10, 2014. Also on September 10, 2009 the Company and Intel Corporation entered into an agreement to share technical and operations information regarding the development of the Company's products, the capabilities of the Company's photomask manufacturing lines and the alignment of photomask toolsets. Intel Capital Corporation also invested in the Company's September 2009 convertible debt offering. The warrants were recorded at their fair value on their date of grant, which was determined using the Black-Scholes option pricing model. As of January 30, 2011, none of the warrants had been exercised.</w:t>
      </w:r>
    </w:p>
    <w:p>
      <w:pPr>
        <w:spacing w:after="0" w:line="226" w:lineRule="exact"/>
        <w:rPr>
          <w:sz w:val="20"/>
          <w:szCs w:val="20"/>
          <w:color w:val="auto"/>
        </w:rPr>
      </w:pPr>
    </w:p>
    <w:p>
      <w:pPr>
        <w:ind w:right="380" w:firstLine="270"/>
        <w:spacing w:after="0" w:line="268" w:lineRule="auto"/>
        <w:rPr>
          <w:sz w:val="20"/>
          <w:szCs w:val="20"/>
          <w:color w:val="auto"/>
        </w:rPr>
      </w:pPr>
      <w:r>
        <w:rPr>
          <w:rFonts w:ascii="Arial" w:cs="Arial" w:eastAsia="Arial" w:hAnsi="Arial"/>
          <w:sz w:val="18"/>
          <w:szCs w:val="18"/>
          <w:color w:val="auto"/>
        </w:rPr>
        <w:t>In conjunction with the May 2009 amendment to its then existing credit facility, the Company also entered into a warrant agreement with its lenders. See Notes 4 and 6 for further discussion of these warrants.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DERIVATIVE INSTRUMENTS AND HEDGING ACTIVITIES</w:t>
      </w:r>
    </w:p>
    <w:p>
      <w:pPr>
        <w:spacing w:after="0" w:line="285" w:lineRule="exact"/>
        <w:rPr>
          <w:sz w:val="20"/>
          <w:szCs w:val="20"/>
          <w:color w:val="auto"/>
        </w:rPr>
      </w:pPr>
    </w:p>
    <w:p>
      <w:pPr>
        <w:ind w:right="20" w:firstLine="270"/>
        <w:spacing w:after="0" w:line="291" w:lineRule="auto"/>
        <w:rPr>
          <w:sz w:val="20"/>
          <w:szCs w:val="20"/>
          <w:color w:val="auto"/>
        </w:rPr>
      </w:pPr>
      <w:r>
        <w:rPr>
          <w:rFonts w:ascii="Arial" w:cs="Arial" w:eastAsia="Arial" w:hAnsi="Arial"/>
          <w:sz w:val="16"/>
          <w:szCs w:val="16"/>
          <w:color w:val="auto"/>
        </w:rPr>
        <w:t>The Company utilizes derivative instruments to reduce its exposure to the effects of the variability of interest rates and foreign currencies on its financial performance when it believes such action is warranted. Historically, the Company has been a party to derivative instruments to hedge either the variability of cash flows of a prospective transaction or the fair value of a recorded asset or liability. In certain instances, the Company has designated these transactions as hedging instruments. However, whether or not a derivative was designated as being a hedging instrument, the Company's purpose for engaging in the derivative has always been for risk management and not speculative purposes. The Company historically has not been a party to a significant number of derivative instruments and does not expect its derivative activity to significantly increase in the foreseeable future.</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644" w:right="259" w:bottom="1440" w:gutter="0" w:footer="0" w:header="0"/>
        </w:sectPr>
      </w:pPr>
    </w:p>
    <w:bookmarkStart w:id="11" w:name="page12"/>
    <w:bookmarkEnd w:id="11"/>
    <w:p>
      <w:pPr>
        <w:ind w:right="400" w:firstLine="270"/>
        <w:spacing w:after="0" w:line="259" w:lineRule="auto"/>
        <w:rPr>
          <w:sz w:val="20"/>
          <w:szCs w:val="20"/>
          <w:color w:val="auto"/>
        </w:rPr>
      </w:pPr>
      <w:r>
        <w:rPr>
          <w:rFonts w:ascii="Arial" w:cs="Arial" w:eastAsia="Arial" w:hAnsi="Arial"/>
          <w:sz w:val="18"/>
          <w:szCs w:val="18"/>
          <w:color w:val="auto"/>
        </w:rPr>
        <w:t>In addition to the utilization of derivative instruments discussed above, the Company attempts to minimize its risk of foreign currency exchange rate variability by, whenever possible, procuring production materials within the same country that it will utilize the materials in manufacturing, and by selling to customers from manufacturing sites within the country in which the customers are located.</w:t>
      </w:r>
    </w:p>
    <w:p>
      <w:pPr>
        <w:spacing w:after="0" w:line="248" w:lineRule="exact"/>
        <w:rPr>
          <w:sz w:val="20"/>
          <w:szCs w:val="20"/>
          <w:color w:val="auto"/>
        </w:rPr>
      </w:pPr>
    </w:p>
    <w:p>
      <w:pPr>
        <w:ind w:right="80" w:firstLine="270"/>
        <w:spacing w:after="0" w:line="288" w:lineRule="auto"/>
        <w:rPr>
          <w:sz w:val="20"/>
          <w:szCs w:val="20"/>
          <w:color w:val="auto"/>
        </w:rPr>
      </w:pPr>
      <w:r>
        <w:rPr>
          <w:rFonts w:ascii="Arial" w:cs="Arial" w:eastAsia="Arial" w:hAnsi="Arial"/>
          <w:sz w:val="16"/>
          <w:szCs w:val="16"/>
          <w:color w:val="auto"/>
        </w:rPr>
        <w:t>On May 15, 2009, in connection with an amendment to its credit facility, the Company issued 2.1 million warrants, each exercisable for one share of the Company's common stock at an exercise price of $0.01 per share. Forty percent of the warrants (0.8 million) were exercisable upon issuance, and the remaining balance was to become exercisable in twenty percent increments at various points in time after October 31, 2009. As a result of certain net cash settleable put provisions within the warrant agreement, the warrants were recorded as a liability in the Company's consolidated balance sheet. As of the issuance date and for future periods that such warrants remain outstanding, the Company has, and will continue to, adjust the liability based upon the current fair value of the warrants, with any changes in their fair value being recognized in earnings. Due to the warrants' exercise price of $0.01 per share, their fair value will approximate the market price of the Company's common stock. Approximately 1.2 million of these warrants were cancelled as a result of the Company's early repayment of certain amounts under its credit facility during the year ended November 1, 2009 and the associated liability was reduced accordingly (see Note 4 for further discussion).</w:t>
      </w:r>
    </w:p>
    <w:p>
      <w:pPr>
        <w:spacing w:after="0" w:line="228"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 portion of an existing loss on a cash flow hedge in the amount of $0.1 million is expected to be reclassified into earnings over the next twelve months.</w:t>
      </w:r>
    </w:p>
    <w:p>
      <w:pPr>
        <w:spacing w:after="0" w:line="302" w:lineRule="exact"/>
        <w:rPr>
          <w:sz w:val="20"/>
          <w:szCs w:val="20"/>
          <w:color w:val="auto"/>
        </w:rPr>
      </w:pPr>
    </w:p>
    <w:p>
      <w:pPr>
        <w:ind w:right="240" w:firstLine="270"/>
        <w:spacing w:after="0" w:line="268" w:lineRule="auto"/>
        <w:rPr>
          <w:sz w:val="20"/>
          <w:szCs w:val="20"/>
          <w:color w:val="auto"/>
        </w:rPr>
      </w:pPr>
      <w:r>
        <w:rPr>
          <w:rFonts w:ascii="Arial" w:cs="Arial" w:eastAsia="Arial" w:hAnsi="Arial"/>
          <w:sz w:val="18"/>
          <w:szCs w:val="18"/>
          <w:color w:val="auto"/>
        </w:rPr>
        <w:t>The table below presents the effect of derivative instruments on the Company's condensed consolidated balance sheets at January 30, 2011 and October 31, 2010.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Derivatives</w:t>
            </w:r>
          </w:p>
        </w:tc>
        <w:tc>
          <w:tcPr>
            <w:tcW w:w="6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3"/>
        </w:trPr>
        <w:tc>
          <w:tcPr>
            <w:tcW w:w="2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Not Designated</w:t>
            </w:r>
          </w:p>
        </w:tc>
        <w:tc>
          <w:tcPr>
            <w:tcW w:w="6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2"/>
        </w:trPr>
        <w:tc>
          <w:tcPr>
            <w:tcW w:w="2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as Hedging</w:t>
            </w:r>
          </w:p>
        </w:tc>
        <w:tc>
          <w:tcPr>
            <w:tcW w:w="6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60" w:type="dxa"/>
            <w:vAlign w:val="bottom"/>
            <w:gridSpan w:val="6"/>
          </w:tcPr>
          <w:p>
            <w:pPr>
              <w:ind w:left="380"/>
              <w:spacing w:after="0"/>
              <w:rPr>
                <w:sz w:val="20"/>
                <w:szCs w:val="20"/>
                <w:color w:val="auto"/>
              </w:rPr>
            </w:pPr>
            <w:r>
              <w:rPr>
                <w:rFonts w:ascii="Arial" w:cs="Arial" w:eastAsia="Arial" w:hAnsi="Arial"/>
                <w:sz w:val="18"/>
                <w:szCs w:val="18"/>
                <w:b w:val="1"/>
                <w:bCs w:val="1"/>
                <w:color w:val="auto"/>
              </w:rPr>
              <w:t>Fair Value at</w:t>
            </w:r>
          </w:p>
        </w:tc>
      </w:tr>
      <w:tr>
        <w:trPr>
          <w:trHeight w:val="228"/>
        </w:trPr>
        <w:tc>
          <w:tcPr>
            <w:tcW w:w="2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Instruments Under</w:t>
            </w:r>
          </w:p>
        </w:tc>
        <w:tc>
          <w:tcPr>
            <w:tcW w:w="6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Borders>
              <w:top w:val="single" w:sz="8" w:color="auto"/>
            </w:tcBorders>
            <w:gridSpan w:val="3"/>
          </w:tcPr>
          <w:p>
            <w:pPr>
              <w:jc w:val="center"/>
              <w:ind w:right="140"/>
              <w:spacing w:after="0"/>
              <w:rPr>
                <w:sz w:val="20"/>
                <w:szCs w:val="20"/>
                <w:color w:val="auto"/>
              </w:rPr>
            </w:pPr>
            <w:r>
              <w:rPr>
                <w:rFonts w:ascii="Arial" w:cs="Arial" w:eastAsia="Arial" w:hAnsi="Arial"/>
                <w:sz w:val="18"/>
                <w:szCs w:val="18"/>
                <w:b w:val="1"/>
                <w:bCs w:val="1"/>
                <w:color w:val="auto"/>
                <w:w w:val="90"/>
              </w:rPr>
              <w:t>January 30,</w:t>
            </w: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8"/>
              </w:rPr>
              <w:t>October 31,</w:t>
            </w:r>
          </w:p>
        </w:tc>
        <w:tc>
          <w:tcPr>
            <w:tcW w:w="20" w:type="dxa"/>
            <w:vAlign w:val="bottom"/>
          </w:tcPr>
          <w:p>
            <w:pPr>
              <w:spacing w:after="0"/>
              <w:rPr>
                <w:sz w:val="19"/>
                <w:szCs w:val="19"/>
                <w:color w:val="auto"/>
              </w:rPr>
            </w:pPr>
          </w:p>
        </w:tc>
      </w:tr>
      <w:tr>
        <w:trPr>
          <w:trHeight w:val="251"/>
        </w:trPr>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ASC 815</w:t>
            </w:r>
          </w:p>
        </w:tc>
        <w:tc>
          <w:tcPr>
            <w:tcW w:w="260" w:type="dxa"/>
            <w:vAlign w:val="bottom"/>
            <w:tcBorders>
              <w:bottom w:val="single" w:sz="8" w:color="C0C0C0"/>
            </w:tcBorders>
          </w:tcPr>
          <w:p>
            <w:pPr>
              <w:spacing w:after="0"/>
              <w:rPr>
                <w:sz w:val="21"/>
                <w:szCs w:val="21"/>
                <w:color w:val="auto"/>
              </w:rPr>
            </w:pPr>
          </w:p>
        </w:tc>
        <w:tc>
          <w:tcPr>
            <w:tcW w:w="6820" w:type="dxa"/>
            <w:vAlign w:val="bottom"/>
            <w:tcBorders>
              <w:bottom w:val="single" w:sz="8" w:color="auto"/>
            </w:tcBorders>
          </w:tcPr>
          <w:p>
            <w:pPr>
              <w:ind w:left="2540"/>
              <w:spacing w:after="0"/>
              <w:rPr>
                <w:sz w:val="20"/>
                <w:szCs w:val="20"/>
                <w:color w:val="auto"/>
              </w:rPr>
            </w:pPr>
            <w:r>
              <w:rPr>
                <w:rFonts w:ascii="Arial" w:cs="Arial" w:eastAsia="Arial" w:hAnsi="Arial"/>
                <w:sz w:val="18"/>
                <w:szCs w:val="18"/>
                <w:b w:val="1"/>
                <w:bCs w:val="1"/>
                <w:color w:val="auto"/>
              </w:rPr>
              <w:t>Balance Sheet Location</w:t>
            </w:r>
          </w:p>
        </w:tc>
        <w:tc>
          <w:tcPr>
            <w:tcW w:w="260" w:type="dxa"/>
            <w:vAlign w:val="bottom"/>
            <w:tcBorders>
              <w:bottom w:val="single" w:sz="8" w:color="C0C0C0"/>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2011</w:t>
            </w:r>
          </w:p>
        </w:tc>
        <w:tc>
          <w:tcPr>
            <w:tcW w:w="140" w:type="dxa"/>
            <w:vAlign w:val="bottom"/>
            <w:tcBorders>
              <w:bottom w:val="single" w:sz="8" w:color="C0C0C0"/>
            </w:tcBorders>
          </w:tcPr>
          <w:p>
            <w:pPr>
              <w:spacing w:after="0"/>
              <w:rPr>
                <w:sz w:val="21"/>
                <w:szCs w:val="21"/>
                <w:color w:val="auto"/>
              </w:rPr>
            </w:pPr>
          </w:p>
        </w:tc>
        <w:tc>
          <w:tcPr>
            <w:tcW w:w="120" w:type="dxa"/>
            <w:vAlign w:val="bottom"/>
            <w:tcBorders>
              <w:bottom w:val="single" w:sz="8" w:color="C0C0C0"/>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2010</w:t>
            </w:r>
          </w:p>
        </w:tc>
        <w:tc>
          <w:tcPr>
            <w:tcW w:w="20" w:type="dxa"/>
            <w:vAlign w:val="bottom"/>
          </w:tcPr>
          <w:p>
            <w:pPr>
              <w:spacing w:after="0"/>
              <w:rPr>
                <w:sz w:val="21"/>
                <w:szCs w:val="21"/>
                <w:color w:val="auto"/>
              </w:rPr>
            </w:pPr>
          </w:p>
        </w:tc>
      </w:tr>
      <w:tr>
        <w:trPr>
          <w:trHeight w:val="243"/>
        </w:trPr>
        <w:tc>
          <w:tcPr>
            <w:tcW w:w="2200" w:type="dxa"/>
            <w:vAlign w:val="bottom"/>
            <w:gridSpan w:val="2"/>
            <w:shd w:val="clear" w:color="auto" w:fill="C0C0C0"/>
          </w:tcPr>
          <w:p>
            <w:pPr>
              <w:jc w:val="center"/>
              <w:ind w:right="280"/>
              <w:spacing w:after="0"/>
              <w:rPr>
                <w:sz w:val="20"/>
                <w:szCs w:val="20"/>
                <w:color w:val="auto"/>
              </w:rPr>
            </w:pPr>
            <w:r>
              <w:rPr>
                <w:rFonts w:ascii="Arial" w:cs="Arial" w:eastAsia="Arial" w:hAnsi="Arial"/>
                <w:sz w:val="18"/>
                <w:szCs w:val="18"/>
                <w:color w:val="auto"/>
                <w:w w:val="87"/>
              </w:rPr>
              <w:t>Warrants on common stock</w:t>
            </w:r>
          </w:p>
        </w:tc>
        <w:tc>
          <w:tcPr>
            <w:tcW w:w="708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Other liabilities</w:t>
            </w:r>
          </w:p>
        </w:tc>
        <w:tc>
          <w:tcPr>
            <w:tcW w:w="20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0C0C0"/>
          </w:tcPr>
          <w:p>
            <w:pPr>
              <w:ind w:left="380"/>
              <w:spacing w:after="0"/>
              <w:rPr>
                <w:sz w:val="20"/>
                <w:szCs w:val="20"/>
                <w:color w:val="auto"/>
              </w:rPr>
            </w:pPr>
            <w:r>
              <w:rPr>
                <w:rFonts w:ascii="Arial" w:cs="Arial" w:eastAsia="Arial" w:hAnsi="Arial"/>
                <w:sz w:val="18"/>
                <w:szCs w:val="18"/>
                <w:color w:val="auto"/>
              </w:rPr>
              <w:t>1,956</w:t>
            </w:r>
          </w:p>
        </w:tc>
        <w:tc>
          <w:tcPr>
            <w:tcW w:w="30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1,881</w:t>
            </w:r>
          </w:p>
        </w:tc>
        <w:tc>
          <w:tcPr>
            <w:tcW w:w="20" w:type="dxa"/>
            <w:vAlign w:val="bottom"/>
          </w:tcPr>
          <w:p>
            <w:pPr>
              <w:spacing w:after="0"/>
              <w:rPr>
                <w:sz w:val="21"/>
                <w:szCs w:val="21"/>
                <w:color w:val="auto"/>
              </w:rPr>
            </w:pPr>
          </w:p>
        </w:tc>
      </w:tr>
    </w:tbl>
    <w:p>
      <w:pPr>
        <w:spacing w:after="0" w:line="262" w:lineRule="exact"/>
        <w:rPr>
          <w:sz w:val="20"/>
          <w:szCs w:val="20"/>
          <w:color w:val="auto"/>
        </w:rPr>
      </w:pPr>
    </w:p>
    <w:p>
      <w:pPr>
        <w:ind w:right="380" w:firstLine="270"/>
        <w:spacing w:after="0" w:line="268" w:lineRule="auto"/>
        <w:rPr>
          <w:sz w:val="20"/>
          <w:szCs w:val="20"/>
          <w:color w:val="auto"/>
        </w:rPr>
      </w:pPr>
      <w:r>
        <w:rPr>
          <w:rFonts w:ascii="Arial" w:cs="Arial" w:eastAsia="Arial" w:hAnsi="Arial"/>
          <w:sz w:val="18"/>
          <w:szCs w:val="18"/>
          <w:color w:val="auto"/>
        </w:rPr>
        <w:t>The table below presents the effect of derivative instruments on the Company's condensed consolidated statements of income for the three month periods ended January 30, 2011 and January 31, 2010.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Derivatives</w:t>
            </w:r>
          </w:p>
        </w:tc>
        <w:tc>
          <w:tcPr>
            <w:tcW w:w="5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80" w:type="dxa"/>
            <w:vAlign w:val="bottom"/>
            <w:gridSpan w:val="4"/>
          </w:tcPr>
          <w:p>
            <w:pPr>
              <w:jc w:val="center"/>
              <w:ind w:left="172"/>
              <w:spacing w:after="0"/>
              <w:rPr>
                <w:sz w:val="20"/>
                <w:szCs w:val="20"/>
                <w:color w:val="auto"/>
              </w:rPr>
            </w:pPr>
            <w:r>
              <w:rPr>
                <w:rFonts w:ascii="Arial" w:cs="Arial" w:eastAsia="Arial" w:hAnsi="Arial"/>
                <w:sz w:val="18"/>
                <w:szCs w:val="18"/>
                <w:b w:val="1"/>
                <w:bCs w:val="1"/>
                <w:color w:val="auto"/>
                <w:w w:val="87"/>
              </w:rPr>
              <w:t>Amount of Gain (Loss) Recognized</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52"/>
        </w:trPr>
        <w:tc>
          <w:tcPr>
            <w:tcW w:w="2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Not Designated</w:t>
            </w:r>
          </w:p>
        </w:tc>
        <w:tc>
          <w:tcPr>
            <w:tcW w:w="5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80" w:type="dxa"/>
            <w:vAlign w:val="bottom"/>
            <w:tcBorders>
              <w:bottom w:val="single" w:sz="8" w:color="auto"/>
            </w:tcBorders>
            <w:gridSpan w:val="4"/>
          </w:tcPr>
          <w:p>
            <w:pPr>
              <w:jc w:val="center"/>
              <w:ind w:left="172"/>
              <w:spacing w:after="0"/>
              <w:rPr>
                <w:sz w:val="20"/>
                <w:szCs w:val="20"/>
                <w:color w:val="auto"/>
              </w:rPr>
            </w:pPr>
            <w:r>
              <w:rPr>
                <w:rFonts w:ascii="Arial" w:cs="Arial" w:eastAsia="Arial" w:hAnsi="Arial"/>
                <w:sz w:val="18"/>
                <w:szCs w:val="18"/>
                <w:b w:val="1"/>
                <w:bCs w:val="1"/>
                <w:color w:val="auto"/>
                <w:w w:val="88"/>
              </w:rPr>
              <w:t>Related to Derivative Instruments</w:t>
            </w:r>
          </w:p>
        </w:tc>
        <w:tc>
          <w:tcPr>
            <w:tcW w:w="26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37"/>
        </w:trPr>
        <w:tc>
          <w:tcPr>
            <w:tcW w:w="2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as Hedging</w:t>
            </w:r>
          </w:p>
        </w:tc>
        <w:tc>
          <w:tcPr>
            <w:tcW w:w="5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80" w:type="dxa"/>
            <w:vAlign w:val="bottom"/>
            <w:tcBorders>
              <w:bottom w:val="single" w:sz="8" w:color="auto"/>
            </w:tcBorders>
            <w:gridSpan w:val="4"/>
          </w:tcPr>
          <w:p>
            <w:pPr>
              <w:jc w:val="center"/>
              <w:ind w:left="152"/>
              <w:spacing w:after="0"/>
              <w:rPr>
                <w:sz w:val="20"/>
                <w:szCs w:val="20"/>
                <w:color w:val="auto"/>
              </w:rPr>
            </w:pPr>
            <w:r>
              <w:rPr>
                <w:rFonts w:ascii="Arial" w:cs="Arial" w:eastAsia="Arial" w:hAnsi="Arial"/>
                <w:sz w:val="18"/>
                <w:szCs w:val="18"/>
                <w:b w:val="1"/>
                <w:bCs w:val="1"/>
                <w:color w:val="auto"/>
                <w:w w:val="89"/>
              </w:rPr>
              <w:t>Three Months Ended</w:t>
            </w:r>
          </w:p>
        </w:tc>
        <w:tc>
          <w:tcPr>
            <w:tcW w:w="2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28"/>
        </w:trPr>
        <w:tc>
          <w:tcPr>
            <w:tcW w:w="2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Instruments Under</w:t>
            </w:r>
          </w:p>
        </w:tc>
        <w:tc>
          <w:tcPr>
            <w:tcW w:w="5800" w:type="dxa"/>
            <w:vAlign w:val="bottom"/>
          </w:tcPr>
          <w:p>
            <w:pPr>
              <w:jc w:val="center"/>
              <w:spacing w:after="0"/>
              <w:rPr>
                <w:sz w:val="20"/>
                <w:szCs w:val="20"/>
                <w:color w:val="auto"/>
              </w:rPr>
            </w:pPr>
            <w:r>
              <w:rPr>
                <w:rFonts w:ascii="Arial" w:cs="Arial" w:eastAsia="Arial" w:hAnsi="Arial"/>
                <w:sz w:val="18"/>
                <w:szCs w:val="18"/>
                <w:b w:val="1"/>
                <w:bCs w:val="1"/>
                <w:color w:val="auto"/>
                <w:w w:val="88"/>
              </w:rPr>
              <w:t>Location of Gain (Loss)</w:t>
            </w:r>
          </w:p>
        </w:tc>
        <w:tc>
          <w:tcPr>
            <w:tcW w:w="280" w:type="dxa"/>
            <w:vAlign w:val="bottom"/>
          </w:tcPr>
          <w:p>
            <w:pPr>
              <w:spacing w:after="0"/>
              <w:rPr>
                <w:sz w:val="19"/>
                <w:szCs w:val="19"/>
                <w:color w:val="auto"/>
              </w:rPr>
            </w:pPr>
          </w:p>
        </w:tc>
        <w:tc>
          <w:tcPr>
            <w:tcW w:w="1500" w:type="dxa"/>
            <w:vAlign w:val="bottom"/>
          </w:tcPr>
          <w:p>
            <w:pPr>
              <w:jc w:val="center"/>
              <w:ind w:left="292"/>
              <w:spacing w:after="0"/>
              <w:rPr>
                <w:sz w:val="20"/>
                <w:szCs w:val="20"/>
                <w:color w:val="auto"/>
              </w:rPr>
            </w:pPr>
            <w:r>
              <w:rPr>
                <w:rFonts w:ascii="Arial" w:cs="Arial" w:eastAsia="Arial" w:hAnsi="Arial"/>
                <w:sz w:val="18"/>
                <w:szCs w:val="18"/>
                <w:b w:val="1"/>
                <w:bCs w:val="1"/>
                <w:color w:val="auto"/>
                <w:w w:val="88"/>
              </w:rPr>
              <w:t>January 30,</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January 31,</w:t>
            </w:r>
          </w:p>
        </w:tc>
        <w:tc>
          <w:tcPr>
            <w:tcW w:w="20" w:type="dxa"/>
            <w:vAlign w:val="bottom"/>
          </w:tcPr>
          <w:p>
            <w:pPr>
              <w:spacing w:after="0"/>
              <w:rPr>
                <w:sz w:val="19"/>
                <w:szCs w:val="19"/>
                <w:color w:val="auto"/>
              </w:rPr>
            </w:pPr>
          </w:p>
        </w:tc>
      </w:tr>
      <w:tr>
        <w:trPr>
          <w:trHeight w:val="251"/>
        </w:trPr>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ASC 815</w:t>
            </w:r>
          </w:p>
        </w:tc>
        <w:tc>
          <w:tcPr>
            <w:tcW w:w="260" w:type="dxa"/>
            <w:vAlign w:val="bottom"/>
            <w:tcBorders>
              <w:bottom w:val="single" w:sz="8" w:color="C0C0C0"/>
            </w:tcBorders>
          </w:tcPr>
          <w:p>
            <w:pPr>
              <w:spacing w:after="0"/>
              <w:rPr>
                <w:sz w:val="21"/>
                <w:szCs w:val="21"/>
                <w:color w:val="auto"/>
              </w:rPr>
            </w:pPr>
          </w:p>
        </w:tc>
        <w:tc>
          <w:tcPr>
            <w:tcW w:w="5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Related to Derivative Instruments</w:t>
            </w:r>
          </w:p>
        </w:tc>
        <w:tc>
          <w:tcPr>
            <w:tcW w:w="280" w:type="dxa"/>
            <w:vAlign w:val="bottom"/>
            <w:tcBorders>
              <w:bottom w:val="single" w:sz="8" w:color="C0C0C0"/>
            </w:tcBorders>
          </w:tcPr>
          <w:p>
            <w:pPr>
              <w:spacing w:after="0"/>
              <w:rPr>
                <w:sz w:val="21"/>
                <w:szCs w:val="21"/>
                <w:color w:val="auto"/>
              </w:rPr>
            </w:pPr>
          </w:p>
        </w:tc>
        <w:tc>
          <w:tcPr>
            <w:tcW w:w="150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2011</w:t>
            </w:r>
          </w:p>
        </w:tc>
        <w:tc>
          <w:tcPr>
            <w:tcW w:w="400" w:type="dxa"/>
            <w:vAlign w:val="bottom"/>
            <w:tcBorders>
              <w:bottom w:val="single" w:sz="8" w:color="auto"/>
            </w:tcBorders>
          </w:tcPr>
          <w:p>
            <w:pPr>
              <w:spacing w:after="0"/>
              <w:rPr>
                <w:sz w:val="21"/>
                <w:szCs w:val="21"/>
                <w:color w:val="auto"/>
              </w:rPr>
            </w:pPr>
          </w:p>
        </w:tc>
        <w:tc>
          <w:tcPr>
            <w:tcW w:w="260" w:type="dxa"/>
            <w:vAlign w:val="bottom"/>
            <w:tcBorders>
              <w:bottom w:val="single" w:sz="8" w:color="C0C0C0"/>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2010</w:t>
            </w:r>
          </w:p>
        </w:tc>
        <w:tc>
          <w:tcPr>
            <w:tcW w:w="26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2200" w:type="dxa"/>
            <w:vAlign w:val="bottom"/>
            <w:gridSpan w:val="2"/>
            <w:shd w:val="clear" w:color="auto" w:fill="C0C0C0"/>
          </w:tcPr>
          <w:p>
            <w:pPr>
              <w:jc w:val="center"/>
              <w:ind w:right="280"/>
              <w:spacing w:after="0"/>
              <w:rPr>
                <w:sz w:val="20"/>
                <w:szCs w:val="20"/>
                <w:color w:val="auto"/>
              </w:rPr>
            </w:pPr>
            <w:r>
              <w:rPr>
                <w:rFonts w:ascii="Arial" w:cs="Arial" w:eastAsia="Arial" w:hAnsi="Arial"/>
                <w:sz w:val="18"/>
                <w:szCs w:val="18"/>
                <w:color w:val="auto"/>
                <w:w w:val="87"/>
              </w:rPr>
              <w:t>Warrants on common stock</w:t>
            </w:r>
          </w:p>
        </w:tc>
        <w:tc>
          <w:tcPr>
            <w:tcW w:w="5800" w:type="dxa"/>
            <w:vAlign w:val="bottom"/>
            <w:shd w:val="clear" w:color="auto" w:fill="C0C0C0"/>
          </w:tcPr>
          <w:p>
            <w:pPr>
              <w:spacing w:after="0"/>
              <w:rPr>
                <w:sz w:val="20"/>
                <w:szCs w:val="20"/>
                <w:color w:val="auto"/>
              </w:rPr>
            </w:pPr>
            <w:r>
              <w:rPr>
                <w:rFonts w:ascii="Arial" w:cs="Arial" w:eastAsia="Arial" w:hAnsi="Arial"/>
                <w:sz w:val="18"/>
                <w:szCs w:val="18"/>
                <w:color w:val="auto"/>
              </w:rPr>
              <w:t>Investment and other income (expense), net</w:t>
            </w:r>
          </w:p>
        </w:tc>
        <w:tc>
          <w:tcPr>
            <w:tcW w:w="1780" w:type="dxa"/>
            <w:vAlign w:val="bottom"/>
            <w:gridSpan w:val="2"/>
            <w:shd w:val="clear" w:color="auto" w:fill="C0C0C0"/>
          </w:tcPr>
          <w:p>
            <w:pPr>
              <w:jc w:val="right"/>
              <w:ind w:right="1332"/>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0C0C0"/>
          </w:tcPr>
          <w:p>
            <w:pPr>
              <w:jc w:val="right"/>
              <w:ind w:right="260"/>
              <w:spacing w:after="0"/>
              <w:rPr>
                <w:sz w:val="20"/>
                <w:szCs w:val="20"/>
                <w:color w:val="auto"/>
              </w:rPr>
            </w:pPr>
            <w:r>
              <w:rPr>
                <w:rFonts w:ascii="Arial" w:cs="Arial" w:eastAsia="Arial" w:hAnsi="Arial"/>
                <w:sz w:val="18"/>
                <w:szCs w:val="18"/>
                <w:color w:val="auto"/>
              </w:rPr>
              <w:t>(75)</w:t>
            </w:r>
          </w:p>
        </w:tc>
        <w:tc>
          <w:tcPr>
            <w:tcW w:w="720" w:type="dxa"/>
            <w:vAlign w:val="bottom"/>
            <w:shd w:val="clear" w:color="auto" w:fill="C0C0C0"/>
          </w:tcPr>
          <w:p>
            <w:pPr>
              <w:jc w:val="right"/>
              <w:ind w:right="532"/>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109</w:t>
            </w:r>
          </w:p>
        </w:tc>
        <w:tc>
          <w:tcPr>
            <w:tcW w:w="20" w:type="dxa"/>
            <w:vAlign w:val="bottom"/>
          </w:tcPr>
          <w:p>
            <w:pPr>
              <w:spacing w:after="0"/>
              <w:rPr>
                <w:sz w:val="21"/>
                <w:szCs w:val="2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SHARE-BASED COMPENSATION</w:t>
      </w:r>
    </w:p>
    <w:p>
      <w:pPr>
        <w:spacing w:after="0" w:line="285" w:lineRule="exact"/>
        <w:rPr>
          <w:sz w:val="20"/>
          <w:szCs w:val="20"/>
          <w:color w:val="auto"/>
        </w:rPr>
      </w:pPr>
    </w:p>
    <w:p>
      <w:pPr>
        <w:ind w:right="20" w:firstLine="270"/>
        <w:spacing w:after="0" w:line="289" w:lineRule="auto"/>
        <w:rPr>
          <w:sz w:val="20"/>
          <w:szCs w:val="20"/>
          <w:color w:val="auto"/>
        </w:rPr>
      </w:pPr>
      <w:r>
        <w:rPr>
          <w:rFonts w:ascii="Arial" w:cs="Arial" w:eastAsia="Arial" w:hAnsi="Arial"/>
          <w:sz w:val="16"/>
          <w:szCs w:val="16"/>
          <w:color w:val="auto"/>
        </w:rPr>
        <w:t>In March 2007, shareholders approved a new share-based compensation plan ("Plan"), under which options, restricted stock, restricted stock units, stock appreciation rights, performance stock, performance units, and other awards based on, or related to, shares of the Company's common stock may be granted from shares authorized but unissued or shares previously issued and reacquired by the Company. A maximum of six million shares of common stock may be issued under the Plan. Awards may be granted to officers, employees, directors, consultants, advisors, and independent contractors of the Company or its subsidiaries. In the event of a change in control (as defined in the Plan), the vesting of awards may be accelerated. The Plan, aspects of which are more fully described below, prohibits further awards from being issued under prior plans. The Company incurred total share-based compensation costs of $0.5 million and $0.6 million for the three months ended January 30, 2011 and January 31, 2010, respectively. No share-based compensation cost was capitalized as part of inventory and no related income tax benefits were recorded during the periods presented.</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44"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Stock Options</w:t>
      </w:r>
    </w:p>
    <w:p>
      <w:pPr>
        <w:spacing w:after="0" w:line="285" w:lineRule="exact"/>
        <w:rPr>
          <w:sz w:val="20"/>
          <w:szCs w:val="20"/>
          <w:color w:val="auto"/>
        </w:rPr>
      </w:pPr>
    </w:p>
    <w:p>
      <w:pPr>
        <w:ind w:right="60" w:firstLine="270"/>
        <w:spacing w:after="0" w:line="290" w:lineRule="auto"/>
        <w:rPr>
          <w:sz w:val="20"/>
          <w:szCs w:val="20"/>
          <w:color w:val="auto"/>
        </w:rPr>
      </w:pPr>
      <w:r>
        <w:rPr>
          <w:rFonts w:ascii="Arial" w:cs="Arial" w:eastAsia="Arial" w:hAnsi="Arial"/>
          <w:sz w:val="16"/>
          <w:szCs w:val="16"/>
          <w:color w:val="auto"/>
        </w:rPr>
        <w:t>Option awards generally vest in one to four years, and have a ten-year contractual term. All incentive and non-qualified stock option grants have an exercise price equal to the market value of the underlying common stock on the date of grant. The grant date fair values of options are based on closing prices on the dates of grant using the Black-Scholes option pricing model. Expected volatility is based on the historical volatility of the Company's stock. The Company uses historical option exercise behavior and employee termination data to estimate expected term, which represents the period of time that the options granted are expected to remain outstanding. The risk-free rate of return for the estimated term of the option is based on the U.S. Treasury yield curve in effect at the date of grant. The weighted-average inputs and risk-free rate of return ranges used to calculate the grant date fair value of options issued during the three month periods ended January 30, 2011 and January 31, 2010 are presented in the following table.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540" w:type="dxa"/>
            <w:vAlign w:val="bottom"/>
          </w:tcPr>
          <w:p>
            <w:pPr>
              <w:spacing w:after="0"/>
              <w:rPr>
                <w:sz w:val="20"/>
                <w:szCs w:val="20"/>
                <w:color w:val="auto"/>
              </w:rPr>
            </w:pPr>
          </w:p>
        </w:tc>
        <w:tc>
          <w:tcPr>
            <w:tcW w:w="2600" w:type="dxa"/>
            <w:vAlign w:val="bottom"/>
            <w:tcBorders>
              <w:bottom w:val="single" w:sz="8" w:color="auto"/>
            </w:tcBorders>
            <w:gridSpan w:val="3"/>
          </w:tcPr>
          <w:p>
            <w:pPr>
              <w:jc w:val="right"/>
              <w:ind w:right="412"/>
              <w:spacing w:after="0"/>
              <w:rPr>
                <w:sz w:val="20"/>
                <w:szCs w:val="20"/>
                <w:color w:val="auto"/>
              </w:rPr>
            </w:pPr>
            <w:r>
              <w:rPr>
                <w:rFonts w:ascii="Arial" w:cs="Arial" w:eastAsia="Arial" w:hAnsi="Arial"/>
                <w:sz w:val="18"/>
                <w:szCs w:val="18"/>
                <w:b w:val="1"/>
                <w:bCs w:val="1"/>
                <w:color w:val="auto"/>
              </w:rPr>
              <w:t>Three Months Ended</w:t>
            </w:r>
          </w:p>
        </w:tc>
      </w:tr>
      <w:tr>
        <w:trPr>
          <w:trHeight w:val="228"/>
        </w:trPr>
        <w:tc>
          <w:tcPr>
            <w:tcW w:w="6540" w:type="dxa"/>
            <w:vAlign w:val="bottom"/>
          </w:tcPr>
          <w:p>
            <w:pPr>
              <w:spacing w:after="0"/>
              <w:rPr>
                <w:sz w:val="19"/>
                <w:szCs w:val="19"/>
                <w:color w:val="auto"/>
              </w:rPr>
            </w:pPr>
          </w:p>
        </w:tc>
        <w:tc>
          <w:tcPr>
            <w:tcW w:w="1440" w:type="dxa"/>
            <w:vAlign w:val="bottom"/>
            <w:gridSpan w:val="2"/>
          </w:tcPr>
          <w:p>
            <w:pPr>
              <w:ind w:left="140"/>
              <w:spacing w:after="0"/>
              <w:rPr>
                <w:sz w:val="20"/>
                <w:szCs w:val="20"/>
                <w:color w:val="auto"/>
              </w:rPr>
            </w:pPr>
            <w:r>
              <w:rPr>
                <w:rFonts w:ascii="Arial" w:cs="Arial" w:eastAsia="Arial" w:hAnsi="Arial"/>
                <w:sz w:val="18"/>
                <w:szCs w:val="18"/>
                <w:b w:val="1"/>
                <w:bCs w:val="1"/>
                <w:color w:val="auto"/>
              </w:rPr>
              <w:t>January 30,</w:t>
            </w:r>
          </w:p>
        </w:tc>
        <w:tc>
          <w:tcPr>
            <w:tcW w:w="1160" w:type="dxa"/>
            <w:vAlign w:val="bottom"/>
          </w:tcPr>
          <w:p>
            <w:pPr>
              <w:jc w:val="right"/>
              <w:ind w:right="52"/>
              <w:spacing w:after="0"/>
              <w:rPr>
                <w:sz w:val="20"/>
                <w:szCs w:val="20"/>
                <w:color w:val="auto"/>
              </w:rPr>
            </w:pPr>
            <w:r>
              <w:rPr>
                <w:rFonts w:ascii="Arial" w:cs="Arial" w:eastAsia="Arial" w:hAnsi="Arial"/>
                <w:sz w:val="18"/>
                <w:szCs w:val="18"/>
                <w:b w:val="1"/>
                <w:bCs w:val="1"/>
                <w:color w:val="auto"/>
              </w:rPr>
              <w:t>January 31,</w:t>
            </w:r>
          </w:p>
        </w:tc>
      </w:tr>
      <w:tr>
        <w:trPr>
          <w:trHeight w:val="251"/>
        </w:trPr>
        <w:tc>
          <w:tcPr>
            <w:tcW w:w="6540" w:type="dxa"/>
            <w:vAlign w:val="bottom"/>
            <w:tcBorders>
              <w:bottom w:val="single" w:sz="8" w:color="C0C0C0"/>
            </w:tcBorders>
          </w:tcPr>
          <w:p>
            <w:pPr>
              <w:spacing w:after="0"/>
              <w:rPr>
                <w:sz w:val="21"/>
                <w:szCs w:val="21"/>
                <w:color w:val="auto"/>
              </w:rPr>
            </w:pPr>
          </w:p>
        </w:tc>
        <w:tc>
          <w:tcPr>
            <w:tcW w:w="116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2011</w:t>
            </w:r>
          </w:p>
        </w:tc>
        <w:tc>
          <w:tcPr>
            <w:tcW w:w="280" w:type="dxa"/>
            <w:vAlign w:val="bottom"/>
            <w:tcBorders>
              <w:bottom w:val="single" w:sz="8" w:color="C0C0C0"/>
            </w:tcBorders>
          </w:tcPr>
          <w:p>
            <w:pPr>
              <w:spacing w:after="0"/>
              <w:rPr>
                <w:sz w:val="21"/>
                <w:szCs w:val="21"/>
                <w:color w:val="auto"/>
              </w:rPr>
            </w:pPr>
          </w:p>
        </w:tc>
        <w:tc>
          <w:tcPr>
            <w:tcW w:w="116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2010</w:t>
            </w:r>
          </w:p>
        </w:tc>
      </w:tr>
      <w:tr>
        <w:trPr>
          <w:trHeight w:val="243"/>
        </w:trPr>
        <w:tc>
          <w:tcPr>
            <w:tcW w:w="6540" w:type="dxa"/>
            <w:vAlign w:val="bottom"/>
            <w:shd w:val="clear" w:color="auto" w:fill="C0C0C0"/>
          </w:tcPr>
          <w:p>
            <w:pPr>
              <w:spacing w:after="0"/>
              <w:rPr>
                <w:sz w:val="20"/>
                <w:szCs w:val="20"/>
                <w:color w:val="auto"/>
              </w:rPr>
            </w:pPr>
            <w:r>
              <w:rPr>
                <w:rFonts w:ascii="Arial" w:cs="Arial" w:eastAsia="Arial" w:hAnsi="Arial"/>
                <w:sz w:val="18"/>
                <w:szCs w:val="18"/>
                <w:color w:val="auto"/>
              </w:rPr>
              <w:t>Volatility</w:t>
            </w:r>
          </w:p>
        </w:tc>
        <w:tc>
          <w:tcPr>
            <w:tcW w:w="1160" w:type="dxa"/>
            <w:vAlign w:val="bottom"/>
            <w:shd w:val="clear" w:color="auto" w:fill="C0C0C0"/>
          </w:tcPr>
          <w:p>
            <w:pPr>
              <w:jc w:val="right"/>
              <w:ind w:right="172"/>
              <w:spacing w:after="0"/>
              <w:rPr>
                <w:sz w:val="20"/>
                <w:szCs w:val="20"/>
                <w:color w:val="auto"/>
              </w:rPr>
            </w:pPr>
            <w:r>
              <w:rPr>
                <w:rFonts w:ascii="Arial" w:cs="Arial" w:eastAsia="Arial" w:hAnsi="Arial"/>
                <w:sz w:val="18"/>
                <w:szCs w:val="18"/>
                <w:color w:val="auto"/>
              </w:rPr>
              <w:t>98.6%</w:t>
            </w:r>
          </w:p>
        </w:tc>
        <w:tc>
          <w:tcPr>
            <w:tcW w:w="280" w:type="dxa"/>
            <w:vAlign w:val="bottom"/>
            <w:shd w:val="clear" w:color="auto" w:fill="C0C0C0"/>
          </w:tcPr>
          <w:p>
            <w:pPr>
              <w:spacing w:after="0"/>
              <w:rPr>
                <w:sz w:val="21"/>
                <w:szCs w:val="21"/>
                <w:color w:val="auto"/>
              </w:rPr>
            </w:pPr>
          </w:p>
        </w:tc>
        <w:tc>
          <w:tcPr>
            <w:tcW w:w="1160" w:type="dxa"/>
            <w:vAlign w:val="bottom"/>
            <w:shd w:val="clear" w:color="auto" w:fill="C0C0C0"/>
          </w:tcPr>
          <w:p>
            <w:pPr>
              <w:jc w:val="right"/>
              <w:ind w:right="192"/>
              <w:spacing w:after="0"/>
              <w:rPr>
                <w:sz w:val="20"/>
                <w:szCs w:val="20"/>
                <w:color w:val="auto"/>
              </w:rPr>
            </w:pPr>
            <w:r>
              <w:rPr>
                <w:rFonts w:ascii="Arial" w:cs="Arial" w:eastAsia="Arial" w:hAnsi="Arial"/>
                <w:sz w:val="18"/>
                <w:szCs w:val="18"/>
                <w:color w:val="auto"/>
              </w:rPr>
              <w:t>89.3%</w:t>
            </w:r>
          </w:p>
        </w:tc>
      </w:tr>
      <w:tr>
        <w:trPr>
          <w:trHeight w:val="235"/>
        </w:trPr>
        <w:tc>
          <w:tcPr>
            <w:tcW w:w="6540" w:type="dxa"/>
            <w:vAlign w:val="bottom"/>
          </w:tcPr>
          <w:p>
            <w:pPr>
              <w:spacing w:after="0"/>
              <w:rPr>
                <w:sz w:val="20"/>
                <w:szCs w:val="20"/>
                <w:color w:val="auto"/>
              </w:rPr>
            </w:pPr>
            <w:r>
              <w:rPr>
                <w:rFonts w:ascii="Arial" w:cs="Arial" w:eastAsia="Arial" w:hAnsi="Arial"/>
                <w:sz w:val="18"/>
                <w:szCs w:val="18"/>
                <w:color w:val="auto"/>
              </w:rPr>
              <w:t>Risk free rate of return</w:t>
            </w:r>
          </w:p>
        </w:tc>
        <w:tc>
          <w:tcPr>
            <w:tcW w:w="1160" w:type="dxa"/>
            <w:vAlign w:val="bottom"/>
          </w:tcPr>
          <w:p>
            <w:pPr>
              <w:jc w:val="right"/>
              <w:ind w:right="172"/>
              <w:spacing w:after="0"/>
              <w:rPr>
                <w:sz w:val="20"/>
                <w:szCs w:val="20"/>
                <w:color w:val="auto"/>
              </w:rPr>
            </w:pPr>
            <w:r>
              <w:rPr>
                <w:rFonts w:ascii="Arial" w:cs="Arial" w:eastAsia="Arial" w:hAnsi="Arial"/>
                <w:sz w:val="18"/>
                <w:szCs w:val="18"/>
                <w:color w:val="auto"/>
                <w:w w:val="89"/>
              </w:rPr>
              <w:t>1.0% - 1.6%</w:t>
            </w:r>
          </w:p>
        </w:tc>
        <w:tc>
          <w:tcPr>
            <w:tcW w:w="280" w:type="dxa"/>
            <w:vAlign w:val="bottom"/>
          </w:tcPr>
          <w:p>
            <w:pPr>
              <w:spacing w:after="0"/>
              <w:rPr>
                <w:sz w:val="20"/>
                <w:szCs w:val="20"/>
                <w:color w:val="auto"/>
              </w:rPr>
            </w:pPr>
          </w:p>
        </w:tc>
        <w:tc>
          <w:tcPr>
            <w:tcW w:w="1160" w:type="dxa"/>
            <w:vAlign w:val="bottom"/>
          </w:tcPr>
          <w:p>
            <w:pPr>
              <w:jc w:val="right"/>
              <w:ind w:right="192"/>
              <w:spacing w:after="0"/>
              <w:rPr>
                <w:sz w:val="20"/>
                <w:szCs w:val="20"/>
                <w:color w:val="auto"/>
              </w:rPr>
            </w:pPr>
            <w:r>
              <w:rPr>
                <w:rFonts w:ascii="Arial" w:cs="Arial" w:eastAsia="Arial" w:hAnsi="Arial"/>
                <w:sz w:val="18"/>
                <w:szCs w:val="18"/>
                <w:color w:val="auto"/>
                <w:w w:val="87"/>
              </w:rPr>
              <w:t>2.2% - 2.4%</w:t>
            </w:r>
          </w:p>
        </w:tc>
      </w:tr>
      <w:tr>
        <w:trPr>
          <w:trHeight w:val="251"/>
        </w:trPr>
        <w:tc>
          <w:tcPr>
            <w:tcW w:w="6540" w:type="dxa"/>
            <w:vAlign w:val="bottom"/>
            <w:shd w:val="clear" w:color="auto" w:fill="C0C0C0"/>
          </w:tcPr>
          <w:p>
            <w:pPr>
              <w:spacing w:after="0"/>
              <w:rPr>
                <w:sz w:val="20"/>
                <w:szCs w:val="20"/>
                <w:color w:val="auto"/>
              </w:rPr>
            </w:pPr>
            <w:r>
              <w:rPr>
                <w:rFonts w:ascii="Arial" w:cs="Arial" w:eastAsia="Arial" w:hAnsi="Arial"/>
                <w:sz w:val="18"/>
                <w:szCs w:val="18"/>
                <w:color w:val="auto"/>
              </w:rPr>
              <w:t>Dividend yield</w:t>
            </w:r>
          </w:p>
        </w:tc>
        <w:tc>
          <w:tcPr>
            <w:tcW w:w="1160" w:type="dxa"/>
            <w:vAlign w:val="bottom"/>
            <w:shd w:val="clear" w:color="auto" w:fill="C0C0C0"/>
          </w:tcPr>
          <w:p>
            <w:pPr>
              <w:jc w:val="right"/>
              <w:ind w:right="172"/>
              <w:spacing w:after="0"/>
              <w:rPr>
                <w:sz w:val="20"/>
                <w:szCs w:val="20"/>
                <w:color w:val="auto"/>
              </w:rPr>
            </w:pPr>
            <w:r>
              <w:rPr>
                <w:rFonts w:ascii="Arial" w:cs="Arial" w:eastAsia="Arial" w:hAnsi="Arial"/>
                <w:sz w:val="18"/>
                <w:szCs w:val="18"/>
                <w:color w:val="auto"/>
              </w:rPr>
              <w:t>0.0%</w:t>
            </w:r>
          </w:p>
        </w:tc>
        <w:tc>
          <w:tcPr>
            <w:tcW w:w="280" w:type="dxa"/>
            <w:vAlign w:val="bottom"/>
            <w:shd w:val="clear" w:color="auto" w:fill="C0C0C0"/>
          </w:tcPr>
          <w:p>
            <w:pPr>
              <w:spacing w:after="0"/>
              <w:rPr>
                <w:sz w:val="21"/>
                <w:szCs w:val="21"/>
                <w:color w:val="auto"/>
              </w:rPr>
            </w:pPr>
          </w:p>
        </w:tc>
        <w:tc>
          <w:tcPr>
            <w:tcW w:w="1160" w:type="dxa"/>
            <w:vAlign w:val="bottom"/>
            <w:shd w:val="clear" w:color="auto" w:fill="C0C0C0"/>
          </w:tcPr>
          <w:p>
            <w:pPr>
              <w:jc w:val="right"/>
              <w:ind w:right="192"/>
              <w:spacing w:after="0"/>
              <w:rPr>
                <w:sz w:val="20"/>
                <w:szCs w:val="20"/>
                <w:color w:val="auto"/>
              </w:rPr>
            </w:pPr>
            <w:r>
              <w:rPr>
                <w:rFonts w:ascii="Arial" w:cs="Arial" w:eastAsia="Arial" w:hAnsi="Arial"/>
                <w:sz w:val="18"/>
                <w:szCs w:val="18"/>
                <w:color w:val="auto"/>
              </w:rPr>
              <w:t>0.0%</w:t>
            </w:r>
          </w:p>
        </w:tc>
      </w:tr>
      <w:tr>
        <w:trPr>
          <w:trHeight w:val="228"/>
        </w:trPr>
        <w:tc>
          <w:tcPr>
            <w:tcW w:w="6540" w:type="dxa"/>
            <w:vAlign w:val="bottom"/>
          </w:tcPr>
          <w:p>
            <w:pPr>
              <w:spacing w:after="0"/>
              <w:rPr>
                <w:sz w:val="20"/>
                <w:szCs w:val="20"/>
                <w:color w:val="auto"/>
              </w:rPr>
            </w:pPr>
            <w:r>
              <w:rPr>
                <w:rFonts w:ascii="Arial" w:cs="Arial" w:eastAsia="Arial" w:hAnsi="Arial"/>
                <w:sz w:val="18"/>
                <w:szCs w:val="18"/>
                <w:color w:val="auto"/>
              </w:rPr>
              <w:t>Expected term</w:t>
            </w:r>
          </w:p>
        </w:tc>
        <w:tc>
          <w:tcPr>
            <w:tcW w:w="1440" w:type="dxa"/>
            <w:vAlign w:val="bottom"/>
            <w:gridSpan w:val="2"/>
          </w:tcPr>
          <w:p>
            <w:pPr>
              <w:ind w:left="520"/>
              <w:spacing w:after="0"/>
              <w:rPr>
                <w:sz w:val="20"/>
                <w:szCs w:val="20"/>
                <w:color w:val="auto"/>
              </w:rPr>
            </w:pPr>
            <w:r>
              <w:rPr>
                <w:rFonts w:ascii="Arial" w:cs="Arial" w:eastAsia="Arial" w:hAnsi="Arial"/>
                <w:sz w:val="18"/>
                <w:szCs w:val="18"/>
                <w:color w:val="auto"/>
              </w:rPr>
              <w:t>4.2 years</w:t>
            </w:r>
          </w:p>
        </w:tc>
        <w:tc>
          <w:tcPr>
            <w:tcW w:w="1160" w:type="dxa"/>
            <w:vAlign w:val="bottom"/>
          </w:tcPr>
          <w:p>
            <w:pPr>
              <w:jc w:val="right"/>
              <w:spacing w:after="0"/>
              <w:rPr>
                <w:sz w:val="20"/>
                <w:szCs w:val="20"/>
                <w:color w:val="auto"/>
              </w:rPr>
            </w:pPr>
            <w:r>
              <w:rPr>
                <w:rFonts w:ascii="Arial" w:cs="Arial" w:eastAsia="Arial" w:hAnsi="Arial"/>
                <w:sz w:val="18"/>
                <w:szCs w:val="18"/>
                <w:color w:val="auto"/>
              </w:rPr>
              <w:t>4.5 years</w:t>
            </w:r>
          </w:p>
        </w:tc>
      </w:tr>
    </w:tbl>
    <w:p>
      <w:pPr>
        <w:spacing w:after="0" w:line="27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Information on outstanding and exercisable option awards as of January 30, 2011 is presented below.</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Weighted</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43"/>
        </w:trPr>
        <w:tc>
          <w:tcPr>
            <w:tcW w:w="6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8"/>
              </w:rPr>
              <w:t>Weighted</w:t>
            </w: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Average</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43"/>
        </w:trPr>
        <w:tc>
          <w:tcPr>
            <w:tcW w:w="6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7"/>
              </w:rPr>
              <w:t>Average</w:t>
            </w: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Remaining</w:t>
            </w:r>
          </w:p>
        </w:tc>
        <w:tc>
          <w:tcPr>
            <w:tcW w:w="8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5"/>
              </w:rPr>
              <w:t>Aggregate</w:t>
            </w:r>
          </w:p>
        </w:tc>
      </w:tr>
      <w:tr>
        <w:trPr>
          <w:trHeight w:val="243"/>
        </w:trPr>
        <w:tc>
          <w:tcPr>
            <w:tcW w:w="6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3"/>
              </w:rPr>
              <w:t>Exercise</w:t>
            </w: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Contractual</w:t>
            </w:r>
          </w:p>
        </w:tc>
        <w:tc>
          <w:tcPr>
            <w:tcW w:w="100" w:type="dxa"/>
            <w:vAlign w:val="bottom"/>
          </w:tcPr>
          <w:p>
            <w:pPr>
              <w:spacing w:after="0"/>
              <w:rPr>
                <w:sz w:val="21"/>
                <w:szCs w:val="21"/>
                <w:color w:val="auto"/>
              </w:rPr>
            </w:pPr>
          </w:p>
        </w:tc>
        <w:tc>
          <w:tcPr>
            <w:tcW w:w="780" w:type="dxa"/>
            <w:vAlign w:val="bottom"/>
          </w:tcPr>
          <w:p>
            <w:pPr>
              <w:jc w:val="center"/>
              <w:ind w:right="12"/>
              <w:spacing w:after="0"/>
              <w:rPr>
                <w:sz w:val="20"/>
                <w:szCs w:val="20"/>
                <w:color w:val="auto"/>
              </w:rPr>
            </w:pPr>
            <w:r>
              <w:rPr>
                <w:rFonts w:ascii="Arial" w:cs="Arial" w:eastAsia="Arial" w:hAnsi="Arial"/>
                <w:sz w:val="18"/>
                <w:szCs w:val="18"/>
                <w:b w:val="1"/>
                <w:bCs w:val="1"/>
                <w:color w:val="auto"/>
                <w:w w:val="91"/>
              </w:rPr>
              <w:t>Intrinsic</w:t>
            </w:r>
          </w:p>
        </w:tc>
      </w:tr>
      <w:tr>
        <w:trPr>
          <w:trHeight w:val="252"/>
        </w:trPr>
        <w:tc>
          <w:tcPr>
            <w:tcW w:w="6900" w:type="dxa"/>
            <w:vAlign w:val="bottom"/>
            <w:tcBorders>
              <w:bottom w:val="single" w:sz="8" w:color="auto"/>
            </w:tcBorders>
          </w:tcPr>
          <w:p>
            <w:pPr>
              <w:ind w:left="3160"/>
              <w:spacing w:after="0"/>
              <w:rPr>
                <w:sz w:val="20"/>
                <w:szCs w:val="20"/>
                <w:color w:val="auto"/>
              </w:rPr>
            </w:pPr>
            <w:r>
              <w:rPr>
                <w:rFonts w:ascii="Arial" w:cs="Arial" w:eastAsia="Arial" w:hAnsi="Arial"/>
                <w:sz w:val="18"/>
                <w:szCs w:val="18"/>
                <w:b w:val="1"/>
                <w:bCs w:val="1"/>
                <w:color w:val="auto"/>
              </w:rPr>
              <w:t>Options</w:t>
            </w:r>
          </w:p>
        </w:tc>
        <w:tc>
          <w:tcPr>
            <w:tcW w:w="260" w:type="dxa"/>
            <w:vAlign w:val="bottom"/>
            <w:tcBorders>
              <w:bottom w:val="single" w:sz="8" w:color="C0C0C0"/>
            </w:tcBorders>
          </w:tcPr>
          <w:p>
            <w:pPr>
              <w:spacing w:after="0"/>
              <w:rPr>
                <w:sz w:val="21"/>
                <w:szCs w:val="21"/>
                <w:color w:val="auto"/>
              </w:rPr>
            </w:pPr>
          </w:p>
        </w:tc>
        <w:tc>
          <w:tcPr>
            <w:tcW w:w="94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Shares</w:t>
            </w:r>
          </w:p>
        </w:tc>
        <w:tc>
          <w:tcPr>
            <w:tcW w:w="260" w:type="dxa"/>
            <w:vAlign w:val="bottom"/>
            <w:tcBorders>
              <w:bottom w:val="single" w:sz="8" w:color="C0C0C0"/>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b w:val="1"/>
                <w:bCs w:val="1"/>
                <w:color w:val="auto"/>
                <w:w w:val="86"/>
              </w:rPr>
              <w:t>Price</w:t>
            </w:r>
          </w:p>
        </w:tc>
        <w:tc>
          <w:tcPr>
            <w:tcW w:w="280" w:type="dxa"/>
            <w:vAlign w:val="bottom"/>
            <w:tcBorders>
              <w:bottom w:val="single" w:sz="8" w:color="C0C0C0"/>
            </w:tcBorders>
          </w:tcPr>
          <w:p>
            <w:pPr>
              <w:spacing w:after="0"/>
              <w:rPr>
                <w:sz w:val="21"/>
                <w:szCs w:val="21"/>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Life</w:t>
            </w:r>
          </w:p>
        </w:tc>
        <w:tc>
          <w:tcPr>
            <w:tcW w:w="260" w:type="dxa"/>
            <w:vAlign w:val="bottom"/>
            <w:tcBorders>
              <w:bottom w:val="single" w:sz="8" w:color="C0C0C0"/>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b w:val="1"/>
                <w:bCs w:val="1"/>
                <w:color w:val="auto"/>
                <w:w w:val="91"/>
              </w:rPr>
              <w:t>Value</w:t>
            </w:r>
          </w:p>
        </w:tc>
      </w:tr>
      <w:tr>
        <w:trPr>
          <w:trHeight w:val="243"/>
        </w:trPr>
        <w:tc>
          <w:tcPr>
            <w:tcW w:w="716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Outstanding at January 30, 2011</w:t>
            </w:r>
          </w:p>
        </w:tc>
        <w:tc>
          <w:tcPr>
            <w:tcW w:w="940" w:type="dxa"/>
            <w:vAlign w:val="bottom"/>
            <w:shd w:val="clear" w:color="auto" w:fill="C0C0C0"/>
          </w:tcPr>
          <w:p>
            <w:pPr>
              <w:ind w:left="240"/>
              <w:spacing w:after="0"/>
              <w:rPr>
                <w:sz w:val="20"/>
                <w:szCs w:val="20"/>
                <w:color w:val="auto"/>
              </w:rPr>
            </w:pPr>
            <w:r>
              <w:rPr>
                <w:rFonts w:ascii="Arial" w:cs="Arial" w:eastAsia="Arial" w:hAnsi="Arial"/>
                <w:sz w:val="18"/>
                <w:szCs w:val="18"/>
                <w:color w:val="auto"/>
                <w:w w:val="84"/>
              </w:rPr>
              <w:t>3,944,109</w:t>
            </w:r>
          </w:p>
        </w:tc>
        <w:tc>
          <w:tcPr>
            <w:tcW w:w="260" w:type="dxa"/>
            <w:vAlign w:val="bottom"/>
            <w:shd w:val="clear" w:color="auto" w:fill="C0C0C0"/>
          </w:tcPr>
          <w:p>
            <w:pPr>
              <w:spacing w:after="0"/>
              <w:rPr>
                <w:sz w:val="21"/>
                <w:szCs w:val="21"/>
                <w:color w:val="auto"/>
              </w:rPr>
            </w:pPr>
          </w:p>
        </w:tc>
        <w:tc>
          <w:tcPr>
            <w:tcW w:w="14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0C0C0"/>
          </w:tcPr>
          <w:p>
            <w:pPr>
              <w:jc w:val="right"/>
              <w:ind w:right="280"/>
              <w:spacing w:after="0"/>
              <w:rPr>
                <w:sz w:val="20"/>
                <w:szCs w:val="20"/>
                <w:color w:val="auto"/>
              </w:rPr>
            </w:pPr>
            <w:r>
              <w:rPr>
                <w:rFonts w:ascii="Arial" w:cs="Arial" w:eastAsia="Arial" w:hAnsi="Arial"/>
                <w:sz w:val="18"/>
                <w:szCs w:val="18"/>
                <w:color w:val="auto"/>
              </w:rPr>
              <w:t>9.07</w:t>
            </w:r>
          </w:p>
        </w:tc>
        <w:tc>
          <w:tcPr>
            <w:tcW w:w="1180" w:type="dxa"/>
            <w:vAlign w:val="bottom"/>
            <w:gridSpan w:val="2"/>
            <w:shd w:val="clear" w:color="auto" w:fill="C0C0C0"/>
          </w:tcPr>
          <w:p>
            <w:pPr>
              <w:ind w:left="280"/>
              <w:spacing w:after="0"/>
              <w:rPr>
                <w:sz w:val="20"/>
                <w:szCs w:val="20"/>
                <w:color w:val="auto"/>
              </w:rPr>
            </w:pPr>
            <w:r>
              <w:rPr>
                <w:rFonts w:ascii="Arial" w:cs="Arial" w:eastAsia="Arial" w:hAnsi="Arial"/>
                <w:sz w:val="18"/>
                <w:szCs w:val="18"/>
                <w:color w:val="auto"/>
              </w:rPr>
              <w:t>6.6 years</w:t>
            </w:r>
          </w:p>
        </w:tc>
        <w:tc>
          <w:tcPr>
            <w:tcW w:w="10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8,729</w:t>
            </w:r>
          </w:p>
        </w:tc>
      </w:tr>
      <w:tr>
        <w:trPr>
          <w:trHeight w:val="228"/>
        </w:trPr>
        <w:tc>
          <w:tcPr>
            <w:tcW w:w="7160" w:type="dxa"/>
            <w:vAlign w:val="bottom"/>
            <w:gridSpan w:val="2"/>
          </w:tcPr>
          <w:p>
            <w:pPr>
              <w:spacing w:after="0"/>
              <w:rPr>
                <w:sz w:val="20"/>
                <w:szCs w:val="20"/>
                <w:color w:val="auto"/>
              </w:rPr>
            </w:pPr>
            <w:r>
              <w:rPr>
                <w:rFonts w:ascii="Arial" w:cs="Arial" w:eastAsia="Arial" w:hAnsi="Arial"/>
                <w:sz w:val="18"/>
                <w:szCs w:val="18"/>
                <w:color w:val="auto"/>
              </w:rPr>
              <w:t>Exercisable at January 30, 2011</w:t>
            </w:r>
          </w:p>
        </w:tc>
        <w:tc>
          <w:tcPr>
            <w:tcW w:w="940" w:type="dxa"/>
            <w:vAlign w:val="bottom"/>
          </w:tcPr>
          <w:p>
            <w:pPr>
              <w:ind w:left="240"/>
              <w:spacing w:after="0"/>
              <w:rPr>
                <w:sz w:val="20"/>
                <w:szCs w:val="20"/>
                <w:color w:val="auto"/>
              </w:rPr>
            </w:pPr>
            <w:r>
              <w:rPr>
                <w:rFonts w:ascii="Arial" w:cs="Arial" w:eastAsia="Arial" w:hAnsi="Arial"/>
                <w:sz w:val="18"/>
                <w:szCs w:val="18"/>
                <w:color w:val="auto"/>
                <w:w w:val="84"/>
              </w:rPr>
              <w:t>2,287,515</w:t>
            </w:r>
          </w:p>
        </w:tc>
        <w:tc>
          <w:tcPr>
            <w:tcW w:w="2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13.21</w:t>
            </w:r>
          </w:p>
        </w:tc>
        <w:tc>
          <w:tcPr>
            <w:tcW w:w="1180" w:type="dxa"/>
            <w:vAlign w:val="bottom"/>
            <w:gridSpan w:val="2"/>
          </w:tcPr>
          <w:p>
            <w:pPr>
              <w:ind w:left="280"/>
              <w:spacing w:after="0"/>
              <w:rPr>
                <w:sz w:val="20"/>
                <w:szCs w:val="20"/>
                <w:color w:val="auto"/>
              </w:rPr>
            </w:pPr>
            <w:r>
              <w:rPr>
                <w:rFonts w:ascii="Arial" w:cs="Arial" w:eastAsia="Arial" w:hAnsi="Arial"/>
                <w:sz w:val="18"/>
                <w:szCs w:val="18"/>
                <w:color w:val="auto"/>
              </w:rPr>
              <w:t>5.2 years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3,370</w:t>
            </w:r>
          </w:p>
        </w:tc>
      </w:tr>
    </w:tbl>
    <w:p>
      <w:pPr>
        <w:spacing w:after="0" w:line="277" w:lineRule="exact"/>
        <w:rPr>
          <w:sz w:val="20"/>
          <w:szCs w:val="20"/>
          <w:color w:val="auto"/>
        </w:rPr>
      </w:pPr>
    </w:p>
    <w:p>
      <w:pPr>
        <w:ind w:right="100" w:firstLine="270"/>
        <w:spacing w:after="0" w:line="298" w:lineRule="auto"/>
        <w:rPr>
          <w:sz w:val="20"/>
          <w:szCs w:val="20"/>
          <w:color w:val="auto"/>
        </w:rPr>
      </w:pPr>
      <w:r>
        <w:rPr>
          <w:rFonts w:ascii="Arial" w:cs="Arial" w:eastAsia="Arial" w:hAnsi="Arial"/>
          <w:sz w:val="16"/>
          <w:szCs w:val="16"/>
          <w:color w:val="auto"/>
        </w:rPr>
        <w:t>There were 251,500 share options granted during the three month period ended January 30, 2011 with a weighted-average grant date fair value of $4.67 per share and there were 846,400 share options granted during the three month period ended January 31, 2010 with a weighted-average grant date fair value of $2.97 per share. As of January 30, 2011, the total unrecognized compensation cost related to unvested option awards was approximately $3.0 million. That cost is expected to be recognized over a weighted-average amortization period of 3.1 years.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w:t>
      </w:r>
    </w:p>
    <w:p>
      <w:pPr>
        <w:spacing w:after="0" w:line="285" w:lineRule="exact"/>
        <w:rPr>
          <w:sz w:val="20"/>
          <w:szCs w:val="20"/>
          <w:color w:val="auto"/>
        </w:rPr>
      </w:pPr>
    </w:p>
    <w:p>
      <w:pPr>
        <w:ind w:right="220" w:firstLine="270"/>
        <w:spacing w:after="0" w:line="254" w:lineRule="auto"/>
        <w:rPr>
          <w:sz w:val="20"/>
          <w:szCs w:val="20"/>
          <w:color w:val="auto"/>
        </w:rPr>
      </w:pPr>
      <w:r>
        <w:rPr>
          <w:rFonts w:ascii="Arial" w:cs="Arial" w:eastAsia="Arial" w:hAnsi="Arial"/>
          <w:sz w:val="18"/>
          <w:szCs w:val="18"/>
          <w:color w:val="auto"/>
        </w:rPr>
        <w:t>The Company periodically grants restricted stock awards. The restrictions on these awards lapse over a service period that has ranged from less-than-one to eight years. There were 176,250 restricted stock awards issued during the three month period ended January 30, 2011, with a weighted-average grant date fair value of $6.71 per share and there were no restricted stock awards granted during the three month period ended January 31, 2010. As of January 30, 2011, the total compensation cost not yet recognized related to unvested restricted stock awards was approximately $1.8 million. That cost is expected to be recognized over a weighted-average amortization period of 2.8 years. As of January 30, 2011, there were 251,639 shares of restricted stock outstanding with an aggregate intrinsic value of $1.6 million.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NOTE 8 - CONSOLIDATION, RESTRUCTURING AND RELATED CHARGES</w:t>
      </w:r>
    </w:p>
    <w:p>
      <w:pPr>
        <w:spacing w:after="0" w:line="285" w:lineRule="exact"/>
        <w:rPr>
          <w:sz w:val="20"/>
          <w:szCs w:val="20"/>
          <w:color w:val="auto"/>
        </w:rPr>
      </w:pPr>
    </w:p>
    <w:p>
      <w:pPr>
        <w:ind w:right="100" w:firstLine="270"/>
        <w:spacing w:after="0" w:line="289" w:lineRule="auto"/>
        <w:rPr>
          <w:sz w:val="20"/>
          <w:szCs w:val="20"/>
          <w:color w:val="auto"/>
        </w:rPr>
      </w:pPr>
      <w:r>
        <w:rPr>
          <w:rFonts w:ascii="Arial" w:cs="Arial" w:eastAsia="Arial" w:hAnsi="Arial"/>
          <w:sz w:val="16"/>
          <w:szCs w:val="16"/>
          <w:color w:val="auto"/>
        </w:rPr>
        <w:t>In the third quarter of fiscal 2009, the Company ceased the manufacture of photomasks at its Shanghai, China, facility and recorded an initial restructuring charge of $10.1 million in the third quarter of fiscal 2009, which included $7.7 million to write down the carrying value of the Company's Shanghai manufacturing facility to its estimated fair value at that time. In the second quarter of fiscal 2010, the Company sold its facility in Shanghai, China, for net proceeds of $12.9 million ($4.2 million of which was received as a deposit in the first quarter of fiscal 2010), which resulted in a gain of $5.4 million. The gain was recorded as a credit to the restructuring reserve in that quarter. On a cumulative basis the Company recorded total net charges of $5.2 million, including $4.7 million of net asset write-downs, through its completion in fiscal 2010. The fair value of the assets written down was determined by management using a market approach. The following table sets forth the Company's restructuring reserve related to its Shanghai, China, facility as of January 31, 2010, and reflects the activity affecting the reserve for the three month period then ended.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80" w:type="dxa"/>
            <w:vAlign w:val="bottom"/>
            <w:gridSpan w:val="5"/>
          </w:tcPr>
          <w:p>
            <w:pPr>
              <w:ind w:left="8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52"/>
        </w:trPr>
        <w:tc>
          <w:tcPr>
            <w:tcW w:w="6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gridSpan w:val="4"/>
          </w:tcPr>
          <w:p>
            <w:pPr>
              <w:ind w:left="60"/>
              <w:spacing w:after="0"/>
              <w:rPr>
                <w:sz w:val="20"/>
                <w:szCs w:val="20"/>
                <w:color w:val="auto"/>
              </w:rPr>
            </w:pPr>
            <w:r>
              <w:rPr>
                <w:rFonts w:ascii="Arial" w:cs="Arial" w:eastAsia="Arial" w:hAnsi="Arial"/>
                <w:sz w:val="18"/>
                <w:szCs w:val="18"/>
                <w:b w:val="1"/>
                <w:bCs w:val="1"/>
                <w:color w:val="auto"/>
              </w:rPr>
              <w:t>January 31, 2010</w:t>
            </w:r>
          </w:p>
        </w:tc>
        <w:tc>
          <w:tcPr>
            <w:tcW w:w="2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28"/>
        </w:trPr>
        <w:tc>
          <w:tcPr>
            <w:tcW w:w="6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8"/>
              </w:rPr>
              <w:t>November 2,</w:t>
            </w: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January 31,</w:t>
            </w:r>
          </w:p>
        </w:tc>
        <w:tc>
          <w:tcPr>
            <w:tcW w:w="20" w:type="dxa"/>
            <w:vAlign w:val="bottom"/>
          </w:tcPr>
          <w:p>
            <w:pPr>
              <w:spacing w:after="0"/>
              <w:rPr>
                <w:sz w:val="19"/>
                <w:szCs w:val="19"/>
                <w:color w:val="auto"/>
              </w:rPr>
            </w:pPr>
          </w:p>
        </w:tc>
      </w:tr>
      <w:tr>
        <w:trPr>
          <w:trHeight w:val="251"/>
        </w:trPr>
        <w:tc>
          <w:tcPr>
            <w:tcW w:w="6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252"/>
              <w:spacing w:after="0"/>
              <w:rPr>
                <w:sz w:val="20"/>
                <w:szCs w:val="20"/>
                <w:color w:val="auto"/>
              </w:rPr>
            </w:pPr>
            <w:r>
              <w:rPr>
                <w:rFonts w:ascii="Arial" w:cs="Arial" w:eastAsia="Arial" w:hAnsi="Arial"/>
                <w:sz w:val="18"/>
                <w:szCs w:val="18"/>
                <w:b w:val="1"/>
                <w:bCs w:val="1"/>
                <w:color w:val="auto"/>
              </w:rPr>
              <w:t>2009</w:t>
            </w:r>
          </w:p>
        </w:tc>
        <w:tc>
          <w:tcPr>
            <w:tcW w:w="260" w:type="dxa"/>
            <w:vAlign w:val="bottom"/>
          </w:tcPr>
          <w:p>
            <w:pPr>
              <w:spacing w:after="0"/>
              <w:rPr>
                <w:sz w:val="21"/>
                <w:szCs w:val="21"/>
                <w:color w:val="auto"/>
              </w:rPr>
            </w:pPr>
          </w:p>
        </w:tc>
        <w:tc>
          <w:tcPr>
            <w:tcW w:w="1060" w:type="dxa"/>
            <w:vAlign w:val="bottom"/>
            <w:gridSpan w:val="3"/>
          </w:tcPr>
          <w:p>
            <w:pPr>
              <w:ind w:left="80"/>
              <w:spacing w:after="0"/>
              <w:rPr>
                <w:sz w:val="20"/>
                <w:szCs w:val="20"/>
                <w:color w:val="auto"/>
              </w:rPr>
            </w:pPr>
            <w:r>
              <w:rPr>
                <w:rFonts w:ascii="Arial" w:cs="Arial" w:eastAsia="Arial" w:hAnsi="Arial"/>
                <w:sz w:val="18"/>
                <w:szCs w:val="18"/>
                <w:b w:val="1"/>
                <w:bCs w:val="1"/>
                <w:color w:val="auto"/>
              </w:rPr>
              <w:t>Charges</w:t>
            </w:r>
          </w:p>
        </w:tc>
        <w:tc>
          <w:tcPr>
            <w:tcW w:w="1020" w:type="dxa"/>
            <w:vAlign w:val="bottom"/>
            <w:gridSpan w:val="2"/>
          </w:tcPr>
          <w:p>
            <w:pPr>
              <w:ind w:left="80"/>
              <w:spacing w:after="0"/>
              <w:rPr>
                <w:sz w:val="20"/>
                <w:szCs w:val="20"/>
                <w:color w:val="auto"/>
              </w:rPr>
            </w:pPr>
            <w:r>
              <w:rPr>
                <w:rFonts w:ascii="Arial" w:cs="Arial" w:eastAsia="Arial" w:hAnsi="Arial"/>
                <w:sz w:val="18"/>
                <w:szCs w:val="18"/>
                <w:b w:val="1"/>
                <w:bCs w:val="1"/>
                <w:color w:val="auto"/>
              </w:rPr>
              <w:t>Utilized</w:t>
            </w:r>
          </w:p>
        </w:tc>
        <w:tc>
          <w:tcPr>
            <w:tcW w:w="200" w:type="dxa"/>
            <w:vAlign w:val="bottom"/>
          </w:tcPr>
          <w:p>
            <w:pPr>
              <w:spacing w:after="0"/>
              <w:rPr>
                <w:sz w:val="21"/>
                <w:szCs w:val="21"/>
                <w:color w:val="auto"/>
              </w:rPr>
            </w:pPr>
          </w:p>
        </w:tc>
        <w:tc>
          <w:tcPr>
            <w:tcW w:w="780" w:type="dxa"/>
            <w:vAlign w:val="bottom"/>
          </w:tcPr>
          <w:p>
            <w:pPr>
              <w:jc w:val="right"/>
              <w:ind w:right="232"/>
              <w:spacing w:after="0"/>
              <w:rPr>
                <w:sz w:val="20"/>
                <w:szCs w:val="20"/>
                <w:color w:val="auto"/>
              </w:rPr>
            </w:pPr>
            <w:r>
              <w:rPr>
                <w:rFonts w:ascii="Arial" w:cs="Arial" w:eastAsia="Arial" w:hAnsi="Arial"/>
                <w:sz w:val="18"/>
                <w:szCs w:val="18"/>
                <w:b w:val="1"/>
                <w:bCs w:val="1"/>
                <w:color w:val="auto"/>
              </w:rPr>
              <w:t>2010</w:t>
            </w:r>
          </w:p>
        </w:tc>
        <w:tc>
          <w:tcPr>
            <w:tcW w:w="20" w:type="dxa"/>
            <w:vAlign w:val="bottom"/>
          </w:tcPr>
          <w:p>
            <w:pPr>
              <w:spacing w:after="0"/>
              <w:rPr>
                <w:sz w:val="21"/>
                <w:szCs w:val="21"/>
                <w:color w:val="auto"/>
              </w:rPr>
            </w:pPr>
          </w:p>
        </w:tc>
      </w:tr>
      <w:tr>
        <w:trPr>
          <w:trHeight w:val="228"/>
        </w:trPr>
        <w:tc>
          <w:tcPr>
            <w:tcW w:w="6800" w:type="dxa"/>
            <w:vAlign w:val="bottom"/>
            <w:tcBorders>
              <w:top w:val="single" w:sz="8" w:color="C0C0C0"/>
            </w:tcBorders>
            <w:shd w:val="clear" w:color="auto" w:fill="C0C0C0"/>
          </w:tcPr>
          <w:p>
            <w:pPr>
              <w:spacing w:after="0"/>
              <w:rPr>
                <w:sz w:val="20"/>
                <w:szCs w:val="20"/>
                <w:color w:val="auto"/>
              </w:rPr>
            </w:pPr>
            <w:r>
              <w:rPr>
                <w:rFonts w:ascii="Arial" w:cs="Arial" w:eastAsia="Arial" w:hAnsi="Arial"/>
                <w:sz w:val="18"/>
                <w:szCs w:val="18"/>
                <w:color w:val="auto"/>
              </w:rPr>
              <w:t>Employee terminations</w:t>
            </w:r>
          </w:p>
        </w:tc>
        <w:tc>
          <w:tcPr>
            <w:tcW w:w="280" w:type="dxa"/>
            <w:vAlign w:val="bottom"/>
            <w:tcBorders>
              <w:top w:val="single" w:sz="8" w:color="C0C0C0"/>
            </w:tcBorders>
            <w:shd w:val="clear" w:color="auto" w:fill="C0C0C0"/>
          </w:tcPr>
          <w:p>
            <w:pPr>
              <w:spacing w:after="0"/>
              <w:rPr>
                <w:sz w:val="19"/>
                <w:szCs w:val="19"/>
                <w:color w:val="auto"/>
              </w:rPr>
            </w:pPr>
          </w:p>
        </w:tc>
        <w:tc>
          <w:tcPr>
            <w:tcW w:w="200" w:type="dxa"/>
            <w:vAlign w:val="bottom"/>
            <w:tcBorders>
              <w:top w:val="single" w:sz="8" w:color="auto"/>
            </w:tcBorders>
            <w:shd w:val="clear" w:color="auto" w:fill="C0C0C0"/>
          </w:tcPr>
          <w:p>
            <w:pPr>
              <w:spacing w:after="0"/>
              <w:rPr>
                <w:sz w:val="19"/>
                <w:szCs w:val="19"/>
                <w:color w:val="auto"/>
              </w:rPr>
            </w:pPr>
          </w:p>
        </w:tc>
        <w:tc>
          <w:tcPr>
            <w:tcW w:w="820" w:type="dxa"/>
            <w:vAlign w:val="bottom"/>
            <w:tcBorders>
              <w:top w:val="single" w:sz="8" w:color="auto"/>
            </w:tcBorders>
            <w:shd w:val="clear" w:color="auto" w:fill="C0C0C0"/>
          </w:tcPr>
          <w:p>
            <w:pPr>
              <w:spacing w:after="0"/>
              <w:rPr>
                <w:sz w:val="19"/>
                <w:szCs w:val="19"/>
                <w:color w:val="auto"/>
              </w:rPr>
            </w:pPr>
          </w:p>
        </w:tc>
        <w:tc>
          <w:tcPr>
            <w:tcW w:w="260" w:type="dxa"/>
            <w:vAlign w:val="bottom"/>
            <w:tcBorders>
              <w:top w:val="single" w:sz="8" w:color="C0C0C0"/>
            </w:tcBorders>
            <w:shd w:val="clear" w:color="auto" w:fill="C0C0C0"/>
          </w:tcPr>
          <w:p>
            <w:pPr>
              <w:spacing w:after="0"/>
              <w:rPr>
                <w:sz w:val="19"/>
                <w:szCs w:val="19"/>
                <w:color w:val="auto"/>
              </w:rPr>
            </w:pPr>
          </w:p>
        </w:tc>
        <w:tc>
          <w:tcPr>
            <w:tcW w:w="180" w:type="dxa"/>
            <w:vAlign w:val="bottom"/>
            <w:tcBorders>
              <w:top w:val="single" w:sz="8" w:color="auto"/>
            </w:tcBorders>
            <w:shd w:val="clear" w:color="auto" w:fill="C0C0C0"/>
          </w:tcPr>
          <w:p>
            <w:pPr>
              <w:spacing w:after="0"/>
              <w:rPr>
                <w:sz w:val="19"/>
                <w:szCs w:val="19"/>
                <w:color w:val="auto"/>
              </w:rPr>
            </w:pPr>
          </w:p>
        </w:tc>
        <w:tc>
          <w:tcPr>
            <w:tcW w:w="620" w:type="dxa"/>
            <w:vAlign w:val="bottom"/>
            <w:tcBorders>
              <w:top w:val="single" w:sz="8" w:color="auto"/>
            </w:tcBorders>
            <w:shd w:val="clear" w:color="auto" w:fill="C0C0C0"/>
          </w:tcPr>
          <w:p>
            <w:pPr>
              <w:spacing w:after="0"/>
              <w:rPr>
                <w:sz w:val="19"/>
                <w:szCs w:val="19"/>
                <w:color w:val="auto"/>
              </w:rPr>
            </w:pPr>
          </w:p>
        </w:tc>
        <w:tc>
          <w:tcPr>
            <w:tcW w:w="260" w:type="dxa"/>
            <w:vAlign w:val="bottom"/>
            <w:tcBorders>
              <w:top w:val="single" w:sz="8" w:color="C0C0C0"/>
            </w:tcBorders>
            <w:shd w:val="clear" w:color="auto" w:fill="C0C0C0"/>
          </w:tcPr>
          <w:p>
            <w:pPr>
              <w:spacing w:after="0"/>
              <w:rPr>
                <w:sz w:val="19"/>
                <w:szCs w:val="19"/>
                <w:color w:val="auto"/>
              </w:rPr>
            </w:pPr>
          </w:p>
        </w:tc>
        <w:tc>
          <w:tcPr>
            <w:tcW w:w="760" w:type="dxa"/>
            <w:vAlign w:val="bottom"/>
            <w:tcBorders>
              <w:top w:val="single" w:sz="8" w:color="auto"/>
            </w:tcBorders>
            <w:shd w:val="clear" w:color="auto" w:fill="C0C0C0"/>
          </w:tcPr>
          <w:p>
            <w:pPr>
              <w:spacing w:after="0"/>
              <w:rPr>
                <w:sz w:val="19"/>
                <w:szCs w:val="19"/>
                <w:color w:val="auto"/>
              </w:rPr>
            </w:pPr>
          </w:p>
        </w:tc>
        <w:tc>
          <w:tcPr>
            <w:tcW w:w="260" w:type="dxa"/>
            <w:vAlign w:val="bottom"/>
            <w:tcBorders>
              <w:top w:val="single" w:sz="8" w:color="C0C0C0"/>
            </w:tcBorders>
            <w:shd w:val="clear" w:color="auto" w:fill="C0C0C0"/>
          </w:tcPr>
          <w:p>
            <w:pPr>
              <w:spacing w:after="0"/>
              <w:rPr>
                <w:sz w:val="19"/>
                <w:szCs w:val="19"/>
                <w:color w:val="auto"/>
              </w:rPr>
            </w:pPr>
          </w:p>
        </w:tc>
        <w:tc>
          <w:tcPr>
            <w:tcW w:w="200" w:type="dxa"/>
            <w:vAlign w:val="bottom"/>
            <w:tcBorders>
              <w:top w:val="single" w:sz="8" w:color="auto"/>
            </w:tcBorders>
            <w:shd w:val="clear" w:color="auto" w:fill="C0C0C0"/>
          </w:tcPr>
          <w:p>
            <w:pPr>
              <w:spacing w:after="0"/>
              <w:rPr>
                <w:sz w:val="19"/>
                <w:szCs w:val="19"/>
                <w:color w:val="auto"/>
              </w:rPr>
            </w:pPr>
          </w:p>
        </w:tc>
        <w:tc>
          <w:tcPr>
            <w:tcW w:w="780" w:type="dxa"/>
            <w:vAlign w:val="bottom"/>
            <w:tcBorders>
              <w:top w:val="single" w:sz="8" w:color="auto"/>
            </w:tcBorders>
            <w:shd w:val="clear" w:color="auto" w:fill="C0C0C0"/>
          </w:tcPr>
          <w:p>
            <w:pPr>
              <w:spacing w:after="0"/>
              <w:rPr>
                <w:sz w:val="19"/>
                <w:szCs w:val="19"/>
                <w:color w:val="auto"/>
              </w:rPr>
            </w:pPr>
          </w:p>
        </w:tc>
        <w:tc>
          <w:tcPr>
            <w:tcW w:w="20" w:type="dxa"/>
            <w:vAlign w:val="bottom"/>
          </w:tcPr>
          <w:p>
            <w:pPr>
              <w:spacing w:after="0"/>
              <w:rPr>
                <w:sz w:val="19"/>
                <w:szCs w:val="19"/>
                <w:color w:val="auto"/>
              </w:rPr>
            </w:pPr>
          </w:p>
        </w:tc>
      </w:tr>
      <w:tr>
        <w:trPr>
          <w:trHeight w:val="259"/>
        </w:trPr>
        <w:tc>
          <w:tcPr>
            <w:tcW w:w="6800" w:type="dxa"/>
            <w:vAlign w:val="bottom"/>
            <w:shd w:val="clear" w:color="auto" w:fill="C0C0C0"/>
          </w:tcPr>
          <w:p>
            <w:pPr>
              <w:ind w:left="320"/>
              <w:spacing w:after="0"/>
              <w:rPr>
                <w:sz w:val="20"/>
                <w:szCs w:val="20"/>
                <w:color w:val="auto"/>
              </w:rPr>
            </w:pPr>
            <w:r>
              <w:rPr>
                <w:rFonts w:ascii="Arial" w:cs="Arial" w:eastAsia="Arial" w:hAnsi="Arial"/>
                <w:sz w:val="18"/>
                <w:szCs w:val="18"/>
                <w:color w:val="auto"/>
              </w:rPr>
              <w:t>and other</w:t>
            </w:r>
          </w:p>
        </w:tc>
        <w:tc>
          <w:tcPr>
            <w:tcW w:w="480" w:type="dxa"/>
            <w:vAlign w:val="bottom"/>
            <w:gridSpan w:val="2"/>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8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134</w:t>
            </w:r>
          </w:p>
        </w:tc>
        <w:tc>
          <w:tcPr>
            <w:tcW w:w="260" w:type="dxa"/>
            <w:vAlign w:val="bottom"/>
            <w:shd w:val="clear" w:color="auto" w:fill="C0C0C0"/>
          </w:tcPr>
          <w:p>
            <w:pPr>
              <w:spacing w:after="0"/>
              <w:rPr>
                <w:sz w:val="22"/>
                <w:szCs w:val="22"/>
                <w:color w:val="auto"/>
              </w:rPr>
            </w:pPr>
          </w:p>
        </w:tc>
        <w:tc>
          <w:tcPr>
            <w:tcW w:w="18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193</w:t>
            </w:r>
          </w:p>
        </w:tc>
        <w:tc>
          <w:tcPr>
            <w:tcW w:w="260" w:type="dxa"/>
            <w:vAlign w:val="bottom"/>
            <w:shd w:val="clear" w:color="auto" w:fill="C0C0C0"/>
          </w:tcPr>
          <w:p>
            <w:pPr>
              <w:spacing w:after="0"/>
              <w:rPr>
                <w:sz w:val="22"/>
                <w:szCs w:val="22"/>
                <w:color w:val="auto"/>
              </w:rPr>
            </w:pPr>
          </w:p>
        </w:tc>
        <w:tc>
          <w:tcPr>
            <w:tcW w:w="7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   (327)</w:t>
            </w:r>
          </w:p>
        </w:tc>
        <w:tc>
          <w:tcPr>
            <w:tcW w:w="260" w:type="dxa"/>
            <w:vAlign w:val="bottom"/>
            <w:shd w:val="clear" w:color="auto" w:fill="C0C0C0"/>
          </w:tcPr>
          <w:p>
            <w:pPr>
              <w:spacing w:after="0"/>
              <w:rPr>
                <w:sz w:val="22"/>
                <w:szCs w:val="22"/>
                <w:color w:val="auto"/>
              </w:rPr>
            </w:pPr>
          </w:p>
        </w:tc>
        <w:tc>
          <w:tcPr>
            <w:tcW w:w="20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INCOME TAXES</w:t>
      </w:r>
    </w:p>
    <w:p>
      <w:pPr>
        <w:spacing w:after="0" w:line="285" w:lineRule="exact"/>
        <w:rPr>
          <w:sz w:val="20"/>
          <w:szCs w:val="20"/>
          <w:color w:val="auto"/>
        </w:rPr>
      </w:pPr>
    </w:p>
    <w:p>
      <w:pPr>
        <w:ind w:right="120" w:firstLine="270"/>
        <w:spacing w:after="0" w:line="294" w:lineRule="auto"/>
        <w:rPr>
          <w:sz w:val="20"/>
          <w:szCs w:val="20"/>
          <w:color w:val="auto"/>
        </w:rPr>
      </w:pPr>
      <w:r>
        <w:rPr>
          <w:rFonts w:ascii="Arial" w:cs="Arial" w:eastAsia="Arial" w:hAnsi="Arial"/>
          <w:sz w:val="16"/>
          <w:szCs w:val="16"/>
          <w:color w:val="auto"/>
        </w:rPr>
        <w:t>The effective income tax rate differs from the amount computed by applying the U.S. statutory rate of 35% to income before income taxes in the first quarter of fiscal 2011 primarily due to a higher level of earnings taxed at lower statutory rates in foreign jurisdictions, and in the first quarter of fiscal 2010 primarily because income tax provisions incurred in jurisdictions where the Company generated income before income taxes were, due to valuation allowances, not significantly offset by income tax benefits in jurisdictions where the Company incurred losses before income taxes. Further, in Korea and at PSMC in Taiwan, various investment tax credits have been earned, which reduced the Company’s effective income tax rate.</w:t>
      </w:r>
    </w:p>
    <w:p>
      <w:pPr>
        <w:spacing w:after="0" w:line="224" w:lineRule="exact"/>
        <w:rPr>
          <w:sz w:val="20"/>
          <w:szCs w:val="20"/>
          <w:color w:val="auto"/>
        </w:rPr>
      </w:pPr>
    </w:p>
    <w:p>
      <w:pPr>
        <w:ind w:right="360" w:firstLine="270"/>
        <w:spacing w:after="0" w:line="259" w:lineRule="auto"/>
        <w:rPr>
          <w:sz w:val="20"/>
          <w:szCs w:val="20"/>
          <w:color w:val="auto"/>
        </w:rPr>
      </w:pPr>
      <w:r>
        <w:rPr>
          <w:rFonts w:ascii="Arial" w:cs="Arial" w:eastAsia="Arial" w:hAnsi="Arial"/>
          <w:sz w:val="18"/>
          <w:szCs w:val="18"/>
          <w:color w:val="auto"/>
        </w:rPr>
        <w:t>The Company accounts for uncertain tax positions by recording a liability for unrecognized tax benefits resulting from uncertain tax positions taken, or expected to be taken, in its tax returns. The Company recognizes any interest and penalties related to uncertain tax positions in the income tax provision in its condensed consolidated statement of income.</w:t>
      </w:r>
    </w:p>
    <w:p>
      <w:pPr>
        <w:spacing w:after="0" w:line="248" w:lineRule="exact"/>
        <w:rPr>
          <w:sz w:val="20"/>
          <w:szCs w:val="20"/>
          <w:color w:val="auto"/>
        </w:rPr>
      </w:pPr>
    </w:p>
    <w:p>
      <w:pPr>
        <w:ind w:right="80" w:firstLine="270"/>
        <w:spacing w:after="0" w:line="294" w:lineRule="auto"/>
        <w:rPr>
          <w:sz w:val="20"/>
          <w:szCs w:val="20"/>
          <w:color w:val="auto"/>
        </w:rPr>
      </w:pPr>
      <w:r>
        <w:rPr>
          <w:rFonts w:ascii="Arial" w:cs="Arial" w:eastAsia="Arial" w:hAnsi="Arial"/>
          <w:sz w:val="16"/>
          <w:szCs w:val="16"/>
          <w:color w:val="auto"/>
        </w:rPr>
        <w:t>Unrecognized tax benefits associated with uncertain tax positions of $2.0 million were included in other liabilities in the condensed consolidated balance sheets at January 30, 2011 and October 31, 2010. Included in these amounts were $0.3 million for interest and penalties in the two periods. If recognized, the benefits would favorably affect the Company's effective income tax rate in future periods. As of January 30, 2011, the Company believes it is not reasonably possible that the total amounts of unrecognized tax benefits will significantly increase or decrease in the next twelve months. Currently, the statutes of limitations remain open subsequent to, and including, 2006 in the U.S., 2008 in the U.K., 2008 in Germany, 2005 in Korea and 2007 in Taiwan.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28"/>
        </w:trPr>
        <w:tc>
          <w:tcPr>
            <w:tcW w:w="6460" w:type="dxa"/>
            <w:vAlign w:val="bottom"/>
          </w:tcPr>
          <w:p>
            <w:pPr>
              <w:spacing w:after="0"/>
              <w:rPr>
                <w:sz w:val="20"/>
                <w:szCs w:val="20"/>
                <w:color w:val="auto"/>
              </w:rPr>
            </w:pPr>
            <w:r>
              <w:rPr>
                <w:rFonts w:ascii="Arial" w:cs="Arial" w:eastAsia="Arial" w:hAnsi="Arial"/>
                <w:sz w:val="18"/>
                <w:szCs w:val="18"/>
                <w:b w:val="1"/>
                <w:bCs w:val="1"/>
                <w:color w:val="auto"/>
              </w:rPr>
              <w:t>NOTE 10 - EARNINGS PER SHARE</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486"/>
        </w:trPr>
        <w:tc>
          <w:tcPr>
            <w:tcW w:w="6460" w:type="dxa"/>
            <w:vAlign w:val="bottom"/>
          </w:tcPr>
          <w:p>
            <w:pPr>
              <w:ind w:left="280"/>
              <w:spacing w:after="0"/>
              <w:rPr>
                <w:sz w:val="20"/>
                <w:szCs w:val="20"/>
                <w:color w:val="auto"/>
              </w:rPr>
            </w:pPr>
            <w:r>
              <w:rPr>
                <w:rFonts w:ascii="Arial" w:cs="Arial" w:eastAsia="Arial" w:hAnsi="Arial"/>
                <w:sz w:val="18"/>
                <w:szCs w:val="18"/>
                <w:color w:val="auto"/>
              </w:rPr>
              <w:t>The calculation of basic and diluted earnings per share is presented below.</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82"/>
        </w:trPr>
        <w:tc>
          <w:tcPr>
            <w:tcW w:w="6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5"/>
          </w:tcPr>
          <w:p>
            <w:pPr>
              <w:jc w:val="right"/>
              <w:ind w:right="332"/>
              <w:spacing w:after="0"/>
              <w:rPr>
                <w:sz w:val="20"/>
                <w:szCs w:val="20"/>
                <w:color w:val="auto"/>
              </w:rPr>
            </w:pPr>
            <w:r>
              <w:rPr>
                <w:rFonts w:ascii="Arial" w:cs="Arial" w:eastAsia="Arial" w:hAnsi="Arial"/>
                <w:sz w:val="18"/>
                <w:szCs w:val="18"/>
                <w:b w:val="1"/>
                <w:bCs w:val="1"/>
                <w:color w:val="auto"/>
                <w:w w:val="99"/>
              </w:rPr>
              <w:t>Three Months Ended</w:t>
            </w:r>
          </w:p>
        </w:tc>
      </w:tr>
      <w:tr>
        <w:trPr>
          <w:trHeight w:val="228"/>
        </w:trPr>
        <w:tc>
          <w:tcPr>
            <w:tcW w:w="6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3"/>
          </w:tcPr>
          <w:p>
            <w:pPr>
              <w:ind w:left="40"/>
              <w:spacing w:after="0"/>
              <w:rPr>
                <w:sz w:val="20"/>
                <w:szCs w:val="20"/>
                <w:color w:val="auto"/>
              </w:rPr>
            </w:pPr>
            <w:r>
              <w:rPr>
                <w:rFonts w:ascii="Arial" w:cs="Arial" w:eastAsia="Arial" w:hAnsi="Arial"/>
                <w:sz w:val="18"/>
                <w:szCs w:val="18"/>
                <w:b w:val="1"/>
                <w:bCs w:val="1"/>
                <w:color w:val="auto"/>
              </w:rPr>
              <w:t>January 30,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b w:val="1"/>
                <w:bCs w:val="1"/>
                <w:color w:val="auto"/>
                <w:w w:val="90"/>
              </w:rPr>
              <w:t>January 31,</w:t>
            </w:r>
          </w:p>
        </w:tc>
      </w:tr>
      <w:tr>
        <w:trPr>
          <w:trHeight w:val="251"/>
        </w:trPr>
        <w:tc>
          <w:tcPr>
            <w:tcW w:w="6460" w:type="dxa"/>
            <w:vAlign w:val="bottom"/>
            <w:tcBorders>
              <w:bottom w:val="single" w:sz="8" w:color="C0C0C0"/>
            </w:tcBorders>
          </w:tcPr>
          <w:p>
            <w:pPr>
              <w:spacing w:after="0"/>
              <w:rPr>
                <w:sz w:val="21"/>
                <w:szCs w:val="21"/>
                <w:color w:val="auto"/>
              </w:rPr>
            </w:pPr>
          </w:p>
        </w:tc>
        <w:tc>
          <w:tcPr>
            <w:tcW w:w="260" w:type="dxa"/>
            <w:vAlign w:val="bottom"/>
            <w:tcBorders>
              <w:bottom w:val="single" w:sz="8" w:color="C0C0C0"/>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2011</w:t>
            </w:r>
          </w:p>
        </w:tc>
        <w:tc>
          <w:tcPr>
            <w:tcW w:w="120" w:type="dxa"/>
            <w:vAlign w:val="bottom"/>
            <w:tcBorders>
              <w:bottom w:val="single" w:sz="8" w:color="C0C0C0"/>
            </w:tcBorders>
          </w:tcPr>
          <w:p>
            <w:pPr>
              <w:spacing w:after="0"/>
              <w:rPr>
                <w:sz w:val="21"/>
                <w:szCs w:val="21"/>
                <w:color w:val="auto"/>
              </w:rPr>
            </w:pPr>
          </w:p>
        </w:tc>
        <w:tc>
          <w:tcPr>
            <w:tcW w:w="140" w:type="dxa"/>
            <w:vAlign w:val="bottom"/>
            <w:tcBorders>
              <w:bottom w:val="single" w:sz="8" w:color="C0C0C0"/>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2010</w:t>
            </w:r>
          </w:p>
        </w:tc>
      </w:tr>
      <w:tr>
        <w:trPr>
          <w:trHeight w:val="243"/>
        </w:trPr>
        <w:tc>
          <w:tcPr>
            <w:tcW w:w="6460" w:type="dxa"/>
            <w:vAlign w:val="bottom"/>
            <w:shd w:val="clear" w:color="auto" w:fill="C0C0C0"/>
          </w:tcPr>
          <w:p>
            <w:pPr>
              <w:spacing w:after="0"/>
              <w:rPr>
                <w:sz w:val="20"/>
                <w:szCs w:val="20"/>
                <w:color w:val="auto"/>
              </w:rPr>
            </w:pPr>
            <w:r>
              <w:rPr>
                <w:rFonts w:ascii="Arial" w:cs="Arial" w:eastAsia="Arial" w:hAnsi="Arial"/>
                <w:sz w:val="18"/>
                <w:szCs w:val="18"/>
                <w:color w:val="auto"/>
              </w:rPr>
              <w:t>Net income attributable to Photronics, Inc.</w:t>
            </w:r>
          </w:p>
        </w:tc>
        <w:tc>
          <w:tcPr>
            <w:tcW w:w="460" w:type="dxa"/>
            <w:vAlign w:val="bottom"/>
            <w:gridSpan w:val="2"/>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12,111</w:t>
            </w:r>
          </w:p>
        </w:tc>
        <w:tc>
          <w:tcPr>
            <w:tcW w:w="26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213</w:t>
            </w:r>
          </w:p>
        </w:tc>
      </w:tr>
      <w:tr>
        <w:trPr>
          <w:trHeight w:val="235"/>
        </w:trPr>
        <w:tc>
          <w:tcPr>
            <w:tcW w:w="646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51"/>
        </w:trPr>
        <w:tc>
          <w:tcPr>
            <w:tcW w:w="6460" w:type="dxa"/>
            <w:vAlign w:val="bottom"/>
            <w:shd w:val="clear" w:color="auto" w:fill="C0C0C0"/>
          </w:tcPr>
          <w:p>
            <w:pPr>
              <w:ind w:left="320"/>
              <w:spacing w:after="0"/>
              <w:rPr>
                <w:sz w:val="20"/>
                <w:szCs w:val="20"/>
                <w:color w:val="auto"/>
              </w:rPr>
            </w:pPr>
            <w:r>
              <w:rPr>
                <w:rFonts w:ascii="Arial" w:cs="Arial" w:eastAsia="Arial" w:hAnsi="Arial"/>
                <w:sz w:val="18"/>
                <w:szCs w:val="18"/>
                <w:color w:val="auto"/>
              </w:rPr>
              <w:t>Interest expense on convertible notes, net of related tax effects</w:t>
            </w:r>
          </w:p>
        </w:tc>
        <w:tc>
          <w:tcPr>
            <w:tcW w:w="2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90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1,022</w:t>
            </w:r>
          </w:p>
        </w:tc>
        <w:tc>
          <w:tcPr>
            <w:tcW w:w="1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0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6460" w:type="dxa"/>
            <w:vAlign w:val="bottom"/>
            <w:tcBorders>
              <w:bottom w:val="single" w:sz="8" w:color="C0C0C0"/>
            </w:tcBorders>
          </w:tcPr>
          <w:p>
            <w:pPr>
              <w:ind w:left="320"/>
              <w:spacing w:after="0"/>
              <w:rPr>
                <w:sz w:val="20"/>
                <w:szCs w:val="20"/>
                <w:color w:val="auto"/>
              </w:rPr>
            </w:pPr>
            <w:r>
              <w:rPr>
                <w:rFonts w:ascii="Arial" w:cs="Arial" w:eastAsia="Arial" w:hAnsi="Arial"/>
                <w:sz w:val="18"/>
                <w:szCs w:val="18"/>
                <w:color w:val="auto"/>
              </w:rPr>
              <w:t>Fair value adjustment related to common stock warrants</w:t>
            </w:r>
          </w:p>
        </w:tc>
        <w:tc>
          <w:tcPr>
            <w:tcW w:w="260" w:type="dxa"/>
            <w:vAlign w:val="bottom"/>
            <w:tcBorders>
              <w:bottom w:val="single" w:sz="8" w:color="C0C0C0"/>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0C0C0"/>
            </w:tcBorders>
          </w:tcPr>
          <w:p>
            <w:pPr>
              <w:spacing w:after="0"/>
              <w:rPr>
                <w:sz w:val="20"/>
                <w:szCs w:val="20"/>
                <w:color w:val="auto"/>
              </w:rPr>
            </w:pPr>
          </w:p>
        </w:tc>
        <w:tc>
          <w:tcPr>
            <w:tcW w:w="140" w:type="dxa"/>
            <w:vAlign w:val="bottom"/>
            <w:tcBorders>
              <w:bottom w:val="single" w:sz="8" w:color="C0C0C0"/>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r>
      <w:tr>
        <w:trPr>
          <w:trHeight w:val="262"/>
        </w:trPr>
        <w:tc>
          <w:tcPr>
            <w:tcW w:w="6460" w:type="dxa"/>
            <w:vAlign w:val="bottom"/>
            <w:shd w:val="clear" w:color="auto" w:fill="C0C0C0"/>
          </w:tcPr>
          <w:p>
            <w:pPr>
              <w:spacing w:after="0"/>
              <w:rPr>
                <w:sz w:val="20"/>
                <w:szCs w:val="20"/>
                <w:color w:val="auto"/>
              </w:rPr>
            </w:pPr>
            <w:r>
              <w:rPr>
                <w:rFonts w:ascii="Arial" w:cs="Arial" w:eastAsia="Arial" w:hAnsi="Arial"/>
                <w:sz w:val="18"/>
                <w:szCs w:val="18"/>
                <w:color w:val="auto"/>
              </w:rPr>
              <w:t>Earnings for diluted earnings per share</w:t>
            </w:r>
          </w:p>
        </w:tc>
        <w:tc>
          <w:tcPr>
            <w:tcW w:w="460" w:type="dxa"/>
            <w:vAlign w:val="bottom"/>
            <w:gridSpan w:val="2"/>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13,133</w:t>
            </w:r>
          </w:p>
        </w:tc>
        <w:tc>
          <w:tcPr>
            <w:tcW w:w="26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104</w:t>
            </w:r>
          </w:p>
        </w:tc>
      </w:tr>
      <w:tr>
        <w:trPr>
          <w:trHeight w:val="223"/>
        </w:trPr>
        <w:tc>
          <w:tcPr>
            <w:tcW w:w="6460" w:type="dxa"/>
            <w:vAlign w:val="bottom"/>
            <w:tcBorders>
              <w:top w:val="single" w:sz="8" w:color="C0C0C0"/>
            </w:tcBorders>
          </w:tcPr>
          <w:p>
            <w:pPr>
              <w:spacing w:after="0"/>
              <w:rPr>
                <w:sz w:val="20"/>
                <w:szCs w:val="20"/>
                <w:color w:val="auto"/>
              </w:rPr>
            </w:pPr>
            <w:r>
              <w:rPr>
                <w:rFonts w:ascii="Arial" w:cs="Arial" w:eastAsia="Arial" w:hAnsi="Arial"/>
                <w:sz w:val="18"/>
                <w:szCs w:val="18"/>
                <w:color w:val="auto"/>
              </w:rPr>
              <w:t>Weighted-average common shares computations:</w:t>
            </w:r>
          </w:p>
        </w:tc>
        <w:tc>
          <w:tcPr>
            <w:tcW w:w="260" w:type="dxa"/>
            <w:vAlign w:val="bottom"/>
            <w:tcBorders>
              <w:top w:val="single" w:sz="8" w:color="C0C0C0"/>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20" w:type="dxa"/>
            <w:vAlign w:val="bottom"/>
            <w:tcBorders>
              <w:top w:val="single" w:sz="8" w:color="C0C0C0"/>
            </w:tcBorders>
          </w:tcPr>
          <w:p>
            <w:pPr>
              <w:spacing w:after="0"/>
              <w:rPr>
                <w:sz w:val="19"/>
                <w:szCs w:val="19"/>
                <w:color w:val="auto"/>
              </w:rPr>
            </w:pPr>
          </w:p>
        </w:tc>
        <w:tc>
          <w:tcPr>
            <w:tcW w:w="140" w:type="dxa"/>
            <w:vAlign w:val="bottom"/>
            <w:tcBorders>
              <w:top w:val="single" w:sz="8" w:color="C0C0C0"/>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r>
      <w:tr>
        <w:trPr>
          <w:trHeight w:val="235"/>
        </w:trPr>
        <w:tc>
          <w:tcPr>
            <w:tcW w:w="6460" w:type="dxa"/>
            <w:vAlign w:val="bottom"/>
            <w:shd w:val="clear" w:color="auto" w:fill="C0C0C0"/>
          </w:tcPr>
          <w:p>
            <w:pPr>
              <w:ind w:left="320"/>
              <w:spacing w:after="0"/>
              <w:rPr>
                <w:sz w:val="20"/>
                <w:szCs w:val="20"/>
                <w:color w:val="auto"/>
              </w:rPr>
            </w:pPr>
            <w:r>
              <w:rPr>
                <w:rFonts w:ascii="Arial" w:cs="Arial" w:eastAsia="Arial" w:hAnsi="Arial"/>
                <w:sz w:val="18"/>
                <w:szCs w:val="18"/>
                <w:color w:val="auto"/>
              </w:rPr>
              <w:t>Weighted-average common shares used for</w:t>
            </w:r>
          </w:p>
        </w:tc>
        <w:tc>
          <w:tcPr>
            <w:tcW w:w="260" w:type="dxa"/>
            <w:vAlign w:val="bottom"/>
            <w:shd w:val="clear" w:color="auto" w:fill="C0C0C0"/>
          </w:tcPr>
          <w:p>
            <w:pPr>
              <w:spacing w:after="0"/>
              <w:rPr>
                <w:sz w:val="20"/>
                <w:szCs w:val="20"/>
                <w:color w:val="auto"/>
              </w:rPr>
            </w:pPr>
          </w:p>
        </w:tc>
        <w:tc>
          <w:tcPr>
            <w:tcW w:w="200" w:type="dxa"/>
            <w:vAlign w:val="bottom"/>
            <w:shd w:val="clear" w:color="auto" w:fill="C0C0C0"/>
          </w:tcPr>
          <w:p>
            <w:pPr>
              <w:spacing w:after="0"/>
              <w:rPr>
                <w:sz w:val="20"/>
                <w:szCs w:val="20"/>
                <w:color w:val="auto"/>
              </w:rPr>
            </w:pPr>
          </w:p>
        </w:tc>
        <w:tc>
          <w:tcPr>
            <w:tcW w:w="78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14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1060" w:type="dxa"/>
            <w:vAlign w:val="bottom"/>
            <w:shd w:val="clear" w:color="auto" w:fill="C0C0C0"/>
          </w:tcPr>
          <w:p>
            <w:pPr>
              <w:spacing w:after="0"/>
              <w:rPr>
                <w:sz w:val="20"/>
                <w:szCs w:val="20"/>
                <w:color w:val="auto"/>
              </w:rPr>
            </w:pPr>
          </w:p>
        </w:tc>
      </w:tr>
      <w:tr>
        <w:trPr>
          <w:trHeight w:val="259"/>
        </w:trPr>
        <w:tc>
          <w:tcPr>
            <w:tcW w:w="6460" w:type="dxa"/>
            <w:vAlign w:val="bottom"/>
            <w:shd w:val="clear" w:color="auto" w:fill="C0C0C0"/>
          </w:tcPr>
          <w:p>
            <w:pPr>
              <w:ind w:left="320"/>
              <w:spacing w:after="0"/>
              <w:rPr>
                <w:sz w:val="20"/>
                <w:szCs w:val="20"/>
                <w:color w:val="auto"/>
              </w:rPr>
            </w:pPr>
            <w:r>
              <w:rPr>
                <w:rFonts w:ascii="Arial" w:cs="Arial" w:eastAsia="Arial" w:hAnsi="Arial"/>
                <w:sz w:val="18"/>
                <w:szCs w:val="18"/>
                <w:color w:val="auto"/>
              </w:rPr>
              <w:t>basic earnings per share</w:t>
            </w:r>
          </w:p>
        </w:tc>
        <w:tc>
          <w:tcPr>
            <w:tcW w:w="260" w:type="dxa"/>
            <w:vAlign w:val="bottom"/>
            <w:shd w:val="clear" w:color="auto" w:fill="C0C0C0"/>
          </w:tcPr>
          <w:p>
            <w:pPr>
              <w:spacing w:after="0"/>
              <w:rPr>
                <w:sz w:val="22"/>
                <w:szCs w:val="22"/>
                <w:color w:val="auto"/>
              </w:rPr>
            </w:pPr>
          </w:p>
        </w:tc>
        <w:tc>
          <w:tcPr>
            <w:tcW w:w="200" w:type="dxa"/>
            <w:vAlign w:val="bottom"/>
            <w:shd w:val="clear" w:color="auto" w:fill="C0C0C0"/>
          </w:tcPr>
          <w:p>
            <w:pPr>
              <w:spacing w:after="0"/>
              <w:rPr>
                <w:sz w:val="22"/>
                <w:szCs w:val="22"/>
                <w:color w:val="auto"/>
              </w:rPr>
            </w:pPr>
          </w:p>
        </w:tc>
        <w:tc>
          <w:tcPr>
            <w:tcW w:w="90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53,817</w:t>
            </w:r>
          </w:p>
        </w:tc>
        <w:tc>
          <w:tcPr>
            <w:tcW w:w="140" w:type="dxa"/>
            <w:vAlign w:val="bottom"/>
            <w:shd w:val="clear" w:color="auto" w:fill="C0C0C0"/>
          </w:tcPr>
          <w:p>
            <w:pPr>
              <w:spacing w:after="0"/>
              <w:rPr>
                <w:sz w:val="22"/>
                <w:szCs w:val="22"/>
                <w:color w:val="auto"/>
              </w:rPr>
            </w:pPr>
          </w:p>
        </w:tc>
        <w:tc>
          <w:tcPr>
            <w:tcW w:w="120" w:type="dxa"/>
            <w:vAlign w:val="bottom"/>
            <w:shd w:val="clear" w:color="auto" w:fill="C0C0C0"/>
          </w:tcPr>
          <w:p>
            <w:pPr>
              <w:spacing w:after="0"/>
              <w:rPr>
                <w:sz w:val="22"/>
                <w:szCs w:val="22"/>
                <w:color w:val="auto"/>
              </w:rPr>
            </w:pPr>
          </w:p>
        </w:tc>
        <w:tc>
          <w:tcPr>
            <w:tcW w:w="10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53,102</w:t>
            </w:r>
          </w:p>
        </w:tc>
      </w:tr>
      <w:tr>
        <w:trPr>
          <w:trHeight w:val="235"/>
        </w:trPr>
        <w:tc>
          <w:tcPr>
            <w:tcW w:w="6460" w:type="dxa"/>
            <w:vAlign w:val="bottom"/>
          </w:tcPr>
          <w:p>
            <w:pPr>
              <w:ind w:left="620"/>
              <w:spacing w:after="0"/>
              <w:rPr>
                <w:sz w:val="20"/>
                <w:szCs w:val="20"/>
                <w:color w:val="auto"/>
              </w:rPr>
            </w:pPr>
            <w:r>
              <w:rPr>
                <w:rFonts w:ascii="Arial" w:cs="Arial" w:eastAsia="Arial" w:hAnsi="Arial"/>
                <w:sz w:val="18"/>
                <w:szCs w:val="18"/>
                <w:color w:val="auto"/>
              </w:rPr>
              <w:t>Effect of dilutive securities:</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51"/>
        </w:trPr>
        <w:tc>
          <w:tcPr>
            <w:tcW w:w="6460" w:type="dxa"/>
            <w:vAlign w:val="bottom"/>
            <w:shd w:val="clear" w:color="auto" w:fill="C0C0C0"/>
          </w:tcPr>
          <w:p>
            <w:pPr>
              <w:ind w:left="920"/>
              <w:spacing w:after="0"/>
              <w:rPr>
                <w:sz w:val="20"/>
                <w:szCs w:val="20"/>
                <w:color w:val="auto"/>
              </w:rPr>
            </w:pPr>
            <w:r>
              <w:rPr>
                <w:rFonts w:ascii="Arial" w:cs="Arial" w:eastAsia="Arial" w:hAnsi="Arial"/>
                <w:sz w:val="18"/>
                <w:szCs w:val="18"/>
                <w:color w:val="auto"/>
              </w:rPr>
              <w:t>Convertible notes</w:t>
            </w:r>
          </w:p>
        </w:tc>
        <w:tc>
          <w:tcPr>
            <w:tcW w:w="2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90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11,311</w:t>
            </w:r>
          </w:p>
        </w:tc>
        <w:tc>
          <w:tcPr>
            <w:tcW w:w="1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0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r>
      <w:tr>
        <w:trPr>
          <w:trHeight w:val="235"/>
        </w:trPr>
        <w:tc>
          <w:tcPr>
            <w:tcW w:w="6460" w:type="dxa"/>
            <w:vAlign w:val="bottom"/>
          </w:tcPr>
          <w:p>
            <w:pPr>
              <w:ind w:left="980"/>
              <w:spacing w:after="0"/>
              <w:rPr>
                <w:sz w:val="20"/>
                <w:szCs w:val="20"/>
                <w:color w:val="auto"/>
              </w:rPr>
            </w:pPr>
            <w:r>
              <w:rPr>
                <w:rFonts w:ascii="Arial" w:cs="Arial" w:eastAsia="Arial" w:hAnsi="Arial"/>
                <w:sz w:val="18"/>
                <w:szCs w:val="18"/>
                <w:color w:val="auto"/>
              </w:rPr>
              <w:t>Share-based payment awards</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1,067</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991</w:t>
            </w:r>
          </w:p>
        </w:tc>
      </w:tr>
      <w:tr>
        <w:trPr>
          <w:trHeight w:val="251"/>
        </w:trPr>
        <w:tc>
          <w:tcPr>
            <w:tcW w:w="6460" w:type="dxa"/>
            <w:vAlign w:val="bottom"/>
            <w:shd w:val="clear" w:color="auto" w:fill="C0C0C0"/>
          </w:tcPr>
          <w:p>
            <w:pPr>
              <w:ind w:left="920"/>
              <w:spacing w:after="0"/>
              <w:rPr>
                <w:sz w:val="20"/>
                <w:szCs w:val="20"/>
                <w:color w:val="auto"/>
              </w:rPr>
            </w:pPr>
            <w:r>
              <w:rPr>
                <w:rFonts w:ascii="Arial" w:cs="Arial" w:eastAsia="Arial" w:hAnsi="Arial"/>
                <w:sz w:val="18"/>
                <w:szCs w:val="18"/>
                <w:color w:val="auto"/>
              </w:rPr>
              <w:t>Common stock warrants</w:t>
            </w:r>
          </w:p>
        </w:tc>
        <w:tc>
          <w:tcPr>
            <w:tcW w:w="260" w:type="dxa"/>
            <w:vAlign w:val="bottom"/>
            <w:shd w:val="clear" w:color="auto" w:fill="C0C0C0"/>
          </w:tcPr>
          <w:p>
            <w:pPr>
              <w:spacing w:after="0"/>
              <w:rPr>
                <w:sz w:val="21"/>
                <w:szCs w:val="21"/>
                <w:color w:val="auto"/>
              </w:rPr>
            </w:pPr>
          </w:p>
        </w:tc>
        <w:tc>
          <w:tcPr>
            <w:tcW w:w="200" w:type="dxa"/>
            <w:vAlign w:val="bottom"/>
            <w:tcBorders>
              <w:bottom w:val="single" w:sz="8" w:color="auto"/>
            </w:tcBorders>
            <w:shd w:val="clear" w:color="auto" w:fill="C0C0C0"/>
          </w:tcPr>
          <w:p>
            <w:pPr>
              <w:spacing w:after="0"/>
              <w:rPr>
                <w:sz w:val="21"/>
                <w:szCs w:val="21"/>
                <w:color w:val="auto"/>
              </w:rPr>
            </w:pPr>
          </w:p>
        </w:tc>
        <w:tc>
          <w:tcPr>
            <w:tcW w:w="7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216</w:t>
            </w:r>
          </w:p>
        </w:tc>
        <w:tc>
          <w:tcPr>
            <w:tcW w:w="12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20" w:type="dxa"/>
            <w:vAlign w:val="bottom"/>
            <w:tcBorders>
              <w:bottom w:val="single" w:sz="8" w:color="auto"/>
            </w:tcBorders>
            <w:shd w:val="clear" w:color="auto" w:fill="C0C0C0"/>
          </w:tcPr>
          <w:p>
            <w:pPr>
              <w:spacing w:after="0"/>
              <w:rPr>
                <w:sz w:val="21"/>
                <w:szCs w:val="21"/>
                <w:color w:val="auto"/>
              </w:rPr>
            </w:pPr>
          </w:p>
        </w:tc>
        <w:tc>
          <w:tcPr>
            <w:tcW w:w="10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731</w:t>
            </w:r>
          </w:p>
        </w:tc>
      </w:tr>
      <w:tr>
        <w:trPr>
          <w:trHeight w:val="230"/>
        </w:trPr>
        <w:tc>
          <w:tcPr>
            <w:tcW w:w="6460" w:type="dxa"/>
            <w:vAlign w:val="bottom"/>
          </w:tcPr>
          <w:p>
            <w:pPr>
              <w:ind w:left="320"/>
              <w:spacing w:after="0"/>
              <w:rPr>
                <w:sz w:val="20"/>
                <w:szCs w:val="20"/>
                <w:color w:val="auto"/>
              </w:rPr>
            </w:pPr>
            <w:r>
              <w:rPr>
                <w:rFonts w:ascii="Arial" w:cs="Arial" w:eastAsia="Arial" w:hAnsi="Arial"/>
                <w:sz w:val="18"/>
                <w:szCs w:val="18"/>
                <w:color w:val="auto"/>
              </w:rPr>
              <w:t>Potentially dilutive common shares</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12,594</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1,722</w:t>
            </w:r>
          </w:p>
        </w:tc>
      </w:tr>
      <w:tr>
        <w:trPr>
          <w:trHeight w:val="228"/>
        </w:trPr>
        <w:tc>
          <w:tcPr>
            <w:tcW w:w="6460" w:type="dxa"/>
            <w:vAlign w:val="bottom"/>
            <w:tcBorders>
              <w:top w:val="single" w:sz="8" w:color="C0C0C0"/>
            </w:tcBorders>
            <w:shd w:val="clear" w:color="auto" w:fill="C0C0C0"/>
          </w:tcPr>
          <w:p>
            <w:pPr>
              <w:spacing w:after="0"/>
              <w:rPr>
                <w:sz w:val="20"/>
                <w:szCs w:val="20"/>
                <w:color w:val="auto"/>
              </w:rPr>
            </w:pPr>
            <w:r>
              <w:rPr>
                <w:rFonts w:ascii="Arial" w:cs="Arial" w:eastAsia="Arial" w:hAnsi="Arial"/>
                <w:sz w:val="18"/>
                <w:szCs w:val="18"/>
                <w:color w:val="auto"/>
              </w:rPr>
              <w:t>Weighted-average common shares used for</w:t>
            </w:r>
          </w:p>
        </w:tc>
        <w:tc>
          <w:tcPr>
            <w:tcW w:w="260" w:type="dxa"/>
            <w:vAlign w:val="bottom"/>
            <w:tcBorders>
              <w:top w:val="single" w:sz="8" w:color="C0C0C0"/>
            </w:tcBorders>
            <w:shd w:val="clear" w:color="auto" w:fill="C0C0C0"/>
          </w:tcPr>
          <w:p>
            <w:pPr>
              <w:spacing w:after="0"/>
              <w:rPr>
                <w:sz w:val="19"/>
                <w:szCs w:val="19"/>
                <w:color w:val="auto"/>
              </w:rPr>
            </w:pPr>
          </w:p>
        </w:tc>
        <w:tc>
          <w:tcPr>
            <w:tcW w:w="200" w:type="dxa"/>
            <w:vAlign w:val="bottom"/>
            <w:tcBorders>
              <w:top w:val="single" w:sz="8" w:color="auto"/>
            </w:tcBorders>
            <w:shd w:val="clear" w:color="auto" w:fill="C0C0C0"/>
          </w:tcPr>
          <w:p>
            <w:pPr>
              <w:spacing w:after="0"/>
              <w:rPr>
                <w:sz w:val="19"/>
                <w:szCs w:val="19"/>
                <w:color w:val="auto"/>
              </w:rPr>
            </w:pPr>
          </w:p>
        </w:tc>
        <w:tc>
          <w:tcPr>
            <w:tcW w:w="780" w:type="dxa"/>
            <w:vAlign w:val="bottom"/>
            <w:tcBorders>
              <w:top w:val="single" w:sz="8" w:color="auto"/>
            </w:tcBorders>
            <w:shd w:val="clear" w:color="auto" w:fill="C0C0C0"/>
          </w:tcPr>
          <w:p>
            <w:pPr>
              <w:spacing w:after="0"/>
              <w:rPr>
                <w:sz w:val="19"/>
                <w:szCs w:val="19"/>
                <w:color w:val="auto"/>
              </w:rPr>
            </w:pPr>
          </w:p>
        </w:tc>
        <w:tc>
          <w:tcPr>
            <w:tcW w:w="120" w:type="dxa"/>
            <w:vAlign w:val="bottom"/>
            <w:tcBorders>
              <w:top w:val="single" w:sz="8" w:color="C0C0C0"/>
            </w:tcBorders>
            <w:shd w:val="clear" w:color="auto" w:fill="C0C0C0"/>
          </w:tcPr>
          <w:p>
            <w:pPr>
              <w:spacing w:after="0"/>
              <w:rPr>
                <w:sz w:val="19"/>
                <w:szCs w:val="19"/>
                <w:color w:val="auto"/>
              </w:rPr>
            </w:pPr>
          </w:p>
        </w:tc>
        <w:tc>
          <w:tcPr>
            <w:tcW w:w="140" w:type="dxa"/>
            <w:vAlign w:val="bottom"/>
            <w:tcBorders>
              <w:top w:val="single" w:sz="8" w:color="C0C0C0"/>
            </w:tcBorders>
            <w:shd w:val="clear" w:color="auto" w:fill="C0C0C0"/>
          </w:tcPr>
          <w:p>
            <w:pPr>
              <w:spacing w:after="0"/>
              <w:rPr>
                <w:sz w:val="19"/>
                <w:szCs w:val="19"/>
                <w:color w:val="auto"/>
              </w:rPr>
            </w:pPr>
          </w:p>
        </w:tc>
        <w:tc>
          <w:tcPr>
            <w:tcW w:w="120" w:type="dxa"/>
            <w:vAlign w:val="bottom"/>
            <w:tcBorders>
              <w:top w:val="single" w:sz="8" w:color="auto"/>
            </w:tcBorders>
            <w:shd w:val="clear" w:color="auto" w:fill="C0C0C0"/>
          </w:tcPr>
          <w:p>
            <w:pPr>
              <w:spacing w:after="0"/>
              <w:rPr>
                <w:sz w:val="19"/>
                <w:szCs w:val="19"/>
                <w:color w:val="auto"/>
              </w:rPr>
            </w:pPr>
          </w:p>
        </w:tc>
        <w:tc>
          <w:tcPr>
            <w:tcW w:w="1060" w:type="dxa"/>
            <w:vAlign w:val="bottom"/>
            <w:tcBorders>
              <w:top w:val="single" w:sz="8" w:color="auto"/>
            </w:tcBorders>
            <w:shd w:val="clear" w:color="auto" w:fill="C0C0C0"/>
          </w:tcPr>
          <w:p>
            <w:pPr>
              <w:spacing w:after="0"/>
              <w:rPr>
                <w:sz w:val="19"/>
                <w:szCs w:val="19"/>
                <w:color w:val="auto"/>
              </w:rPr>
            </w:pPr>
          </w:p>
        </w:tc>
      </w:tr>
      <w:tr>
        <w:trPr>
          <w:trHeight w:val="278"/>
        </w:trPr>
        <w:tc>
          <w:tcPr>
            <w:tcW w:w="6460" w:type="dxa"/>
            <w:vAlign w:val="bottom"/>
            <w:tcBorders>
              <w:bottom w:val="single" w:sz="8" w:color="C0C0C0"/>
            </w:tcBorders>
            <w:shd w:val="clear" w:color="auto" w:fill="C0C0C0"/>
          </w:tcPr>
          <w:p>
            <w:pPr>
              <w:ind w:left="320"/>
              <w:spacing w:after="0"/>
              <w:rPr>
                <w:sz w:val="20"/>
                <w:szCs w:val="20"/>
                <w:color w:val="auto"/>
              </w:rPr>
            </w:pPr>
            <w:r>
              <w:rPr>
                <w:rFonts w:ascii="Arial" w:cs="Arial" w:eastAsia="Arial" w:hAnsi="Arial"/>
                <w:sz w:val="18"/>
                <w:szCs w:val="18"/>
                <w:color w:val="auto"/>
              </w:rPr>
              <w:t>diluted earnings per share</w:t>
            </w:r>
          </w:p>
        </w:tc>
        <w:tc>
          <w:tcPr>
            <w:tcW w:w="260" w:type="dxa"/>
            <w:vAlign w:val="bottom"/>
            <w:tcBorders>
              <w:bottom w:val="single" w:sz="8" w:color="C0C0C0"/>
            </w:tcBorders>
            <w:shd w:val="clear" w:color="auto" w:fill="C0C0C0"/>
          </w:tcPr>
          <w:p>
            <w:pPr>
              <w:spacing w:after="0"/>
              <w:rPr>
                <w:sz w:val="24"/>
                <w:szCs w:val="24"/>
                <w:color w:val="auto"/>
              </w:rPr>
            </w:pPr>
          </w:p>
        </w:tc>
        <w:tc>
          <w:tcPr>
            <w:tcW w:w="200" w:type="dxa"/>
            <w:vAlign w:val="bottom"/>
            <w:tcBorders>
              <w:bottom w:val="single" w:sz="8" w:color="auto"/>
            </w:tcBorders>
            <w:shd w:val="clear" w:color="auto" w:fill="C0C0C0"/>
          </w:tcPr>
          <w:p>
            <w:pPr>
              <w:spacing w:after="0"/>
              <w:rPr>
                <w:sz w:val="24"/>
                <w:szCs w:val="24"/>
                <w:color w:val="auto"/>
              </w:rPr>
            </w:pPr>
          </w:p>
        </w:tc>
        <w:tc>
          <w:tcPr>
            <w:tcW w:w="7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66,411</w:t>
            </w:r>
          </w:p>
        </w:tc>
        <w:tc>
          <w:tcPr>
            <w:tcW w:w="120" w:type="dxa"/>
            <w:vAlign w:val="bottom"/>
            <w:tcBorders>
              <w:bottom w:val="single" w:sz="8" w:color="C0C0C0"/>
            </w:tcBorders>
            <w:shd w:val="clear" w:color="auto" w:fill="C0C0C0"/>
          </w:tcPr>
          <w:p>
            <w:pPr>
              <w:spacing w:after="0"/>
              <w:rPr>
                <w:sz w:val="24"/>
                <w:szCs w:val="24"/>
                <w:color w:val="auto"/>
              </w:rPr>
            </w:pPr>
          </w:p>
        </w:tc>
        <w:tc>
          <w:tcPr>
            <w:tcW w:w="140" w:type="dxa"/>
            <w:vAlign w:val="bottom"/>
            <w:tcBorders>
              <w:bottom w:val="single" w:sz="8" w:color="C0C0C0"/>
            </w:tcBorders>
            <w:shd w:val="clear" w:color="auto" w:fill="C0C0C0"/>
          </w:tcPr>
          <w:p>
            <w:pPr>
              <w:spacing w:after="0"/>
              <w:rPr>
                <w:sz w:val="24"/>
                <w:szCs w:val="24"/>
                <w:color w:val="auto"/>
              </w:rPr>
            </w:pPr>
          </w:p>
        </w:tc>
        <w:tc>
          <w:tcPr>
            <w:tcW w:w="120" w:type="dxa"/>
            <w:vAlign w:val="bottom"/>
            <w:tcBorders>
              <w:bottom w:val="single" w:sz="8" w:color="auto"/>
            </w:tcBorders>
            <w:shd w:val="clear" w:color="auto" w:fill="C0C0C0"/>
          </w:tcPr>
          <w:p>
            <w:pPr>
              <w:spacing w:after="0"/>
              <w:rPr>
                <w:sz w:val="24"/>
                <w:szCs w:val="24"/>
                <w:color w:val="auto"/>
              </w:rPr>
            </w:pPr>
          </w:p>
        </w:tc>
        <w:tc>
          <w:tcPr>
            <w:tcW w:w="10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54,824</w:t>
            </w:r>
          </w:p>
        </w:tc>
      </w:tr>
      <w:tr>
        <w:trPr>
          <w:trHeight w:val="223"/>
        </w:trPr>
        <w:tc>
          <w:tcPr>
            <w:tcW w:w="6460" w:type="dxa"/>
            <w:vAlign w:val="bottom"/>
          </w:tcPr>
          <w:p>
            <w:pPr>
              <w:spacing w:after="0"/>
              <w:rPr>
                <w:sz w:val="20"/>
                <w:szCs w:val="20"/>
                <w:color w:val="auto"/>
              </w:rPr>
            </w:pPr>
            <w:r>
              <w:rPr>
                <w:rFonts w:ascii="Arial" w:cs="Arial" w:eastAsia="Arial" w:hAnsi="Arial"/>
                <w:sz w:val="18"/>
                <w:szCs w:val="18"/>
                <w:color w:val="auto"/>
              </w:rPr>
              <w:t>Basic earnings per share</w:t>
            </w:r>
          </w:p>
        </w:tc>
        <w:tc>
          <w:tcPr>
            <w:tcW w:w="46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0.23</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0.00</w:t>
            </w:r>
          </w:p>
        </w:tc>
      </w:tr>
      <w:tr>
        <w:trPr>
          <w:trHeight w:val="251"/>
        </w:trPr>
        <w:tc>
          <w:tcPr>
            <w:tcW w:w="6460" w:type="dxa"/>
            <w:vAlign w:val="bottom"/>
            <w:shd w:val="clear" w:color="auto" w:fill="C0C0C0"/>
          </w:tcPr>
          <w:p>
            <w:pPr>
              <w:spacing w:after="0"/>
              <w:rPr>
                <w:sz w:val="20"/>
                <w:szCs w:val="20"/>
                <w:color w:val="auto"/>
              </w:rPr>
            </w:pPr>
            <w:r>
              <w:rPr>
                <w:rFonts w:ascii="Arial" w:cs="Arial" w:eastAsia="Arial" w:hAnsi="Arial"/>
                <w:sz w:val="18"/>
                <w:szCs w:val="18"/>
                <w:color w:val="auto"/>
              </w:rPr>
              <w:t>Diluted earnings per share</w:t>
            </w:r>
          </w:p>
        </w:tc>
        <w:tc>
          <w:tcPr>
            <w:tcW w:w="460" w:type="dxa"/>
            <w:vAlign w:val="bottom"/>
            <w:gridSpan w:val="2"/>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0.20</w:t>
            </w:r>
          </w:p>
        </w:tc>
        <w:tc>
          <w:tcPr>
            <w:tcW w:w="26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0.00</w:t>
            </w:r>
          </w:p>
        </w:tc>
      </w:tr>
    </w:tbl>
    <w:p>
      <w:pPr>
        <w:spacing w:after="0" w:line="262" w:lineRule="exact"/>
        <w:rPr>
          <w:sz w:val="20"/>
          <w:szCs w:val="20"/>
          <w:color w:val="auto"/>
        </w:rPr>
      </w:pPr>
    </w:p>
    <w:p>
      <w:pPr>
        <w:ind w:firstLine="270"/>
        <w:spacing w:after="0" w:line="256" w:lineRule="auto"/>
        <w:rPr>
          <w:sz w:val="20"/>
          <w:szCs w:val="20"/>
          <w:color w:val="auto"/>
        </w:rPr>
      </w:pPr>
      <w:r>
        <w:rPr>
          <w:rFonts w:ascii="Arial" w:cs="Arial" w:eastAsia="Arial" w:hAnsi="Arial"/>
          <w:sz w:val="18"/>
          <w:szCs w:val="18"/>
          <w:color w:val="auto"/>
        </w:rPr>
        <w:t>The table below shows the outstanding weighted-average share-based payment awards and common stock warrants that were excluded from the calculation of diluted earnings per share because their exercise price exceeded the average market value of the common shares for the period or, under application of the treasury stock method, they were otherwise determined to be anti-dilutive. The table also shows convertible notes that, if converted, would have been anti-dilutive in the first fiscal quarter of 2010.</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080" w:type="dxa"/>
            <w:vAlign w:val="bottom"/>
          </w:tcPr>
          <w:p>
            <w:pPr>
              <w:spacing w:after="0"/>
              <w:rPr>
                <w:sz w:val="20"/>
                <w:szCs w:val="20"/>
                <w:color w:val="auto"/>
              </w:rPr>
            </w:pPr>
          </w:p>
        </w:tc>
        <w:tc>
          <w:tcPr>
            <w:tcW w:w="2080" w:type="dxa"/>
            <w:vAlign w:val="bottom"/>
            <w:gridSpan w:val="4"/>
          </w:tcPr>
          <w:p>
            <w:pPr>
              <w:ind w:left="240"/>
              <w:spacing w:after="0"/>
              <w:rPr>
                <w:sz w:val="20"/>
                <w:szCs w:val="20"/>
                <w:color w:val="auto"/>
              </w:rPr>
            </w:pPr>
            <w:r>
              <w:rPr>
                <w:rFonts w:ascii="Arial" w:cs="Arial" w:eastAsia="Arial" w:hAnsi="Arial"/>
                <w:sz w:val="18"/>
                <w:szCs w:val="18"/>
                <w:b w:val="1"/>
                <w:bCs w:val="1"/>
                <w:color w:val="auto"/>
              </w:rPr>
              <w:t>Three Months Ended</w:t>
            </w:r>
          </w:p>
        </w:tc>
      </w:tr>
      <w:tr>
        <w:trPr>
          <w:trHeight w:val="228"/>
        </w:trPr>
        <w:tc>
          <w:tcPr>
            <w:tcW w:w="7080" w:type="dxa"/>
            <w:vAlign w:val="bottom"/>
          </w:tcPr>
          <w:p>
            <w:pPr>
              <w:spacing w:after="0"/>
              <w:rPr>
                <w:sz w:val="19"/>
                <w:szCs w:val="19"/>
                <w:color w:val="auto"/>
              </w:rPr>
            </w:pPr>
          </w:p>
        </w:tc>
        <w:tc>
          <w:tcPr>
            <w:tcW w:w="116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January 30,</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January 31,</w:t>
            </w:r>
          </w:p>
        </w:tc>
        <w:tc>
          <w:tcPr>
            <w:tcW w:w="20" w:type="dxa"/>
            <w:vAlign w:val="bottom"/>
          </w:tcPr>
          <w:p>
            <w:pPr>
              <w:spacing w:after="0"/>
              <w:rPr>
                <w:sz w:val="19"/>
                <w:szCs w:val="19"/>
                <w:color w:val="auto"/>
              </w:rPr>
            </w:pPr>
          </w:p>
        </w:tc>
      </w:tr>
      <w:tr>
        <w:trPr>
          <w:trHeight w:val="251"/>
        </w:trPr>
        <w:tc>
          <w:tcPr>
            <w:tcW w:w="7080" w:type="dxa"/>
            <w:vAlign w:val="bottom"/>
            <w:tcBorders>
              <w:bottom w:val="single" w:sz="8" w:color="C0C0C0"/>
            </w:tcBorders>
          </w:tcPr>
          <w:p>
            <w:pPr>
              <w:spacing w:after="0"/>
              <w:rPr>
                <w:sz w:val="21"/>
                <w:szCs w:val="21"/>
                <w:color w:val="auto"/>
              </w:rPr>
            </w:pPr>
          </w:p>
        </w:tc>
        <w:tc>
          <w:tcPr>
            <w:tcW w:w="9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2011</w:t>
            </w:r>
          </w:p>
        </w:tc>
        <w:tc>
          <w:tcPr>
            <w:tcW w:w="260" w:type="dxa"/>
            <w:vAlign w:val="bottom"/>
            <w:tcBorders>
              <w:bottom w:val="single" w:sz="8" w:color="C0C0C0"/>
            </w:tcBorders>
          </w:tcPr>
          <w:p>
            <w:pPr>
              <w:spacing w:after="0"/>
              <w:rPr>
                <w:sz w:val="21"/>
                <w:szCs w:val="21"/>
                <w:color w:val="auto"/>
              </w:rPr>
            </w:pPr>
          </w:p>
        </w:tc>
        <w:tc>
          <w:tcPr>
            <w:tcW w:w="9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2010</w:t>
            </w:r>
          </w:p>
        </w:tc>
        <w:tc>
          <w:tcPr>
            <w:tcW w:w="20" w:type="dxa"/>
            <w:vAlign w:val="bottom"/>
          </w:tcPr>
          <w:p>
            <w:pPr>
              <w:spacing w:after="0"/>
              <w:rPr>
                <w:sz w:val="21"/>
                <w:szCs w:val="21"/>
                <w:color w:val="auto"/>
              </w:rPr>
            </w:pPr>
          </w:p>
        </w:tc>
      </w:tr>
      <w:tr>
        <w:trPr>
          <w:trHeight w:val="243"/>
        </w:trPr>
        <w:tc>
          <w:tcPr>
            <w:tcW w:w="7080" w:type="dxa"/>
            <w:vAlign w:val="bottom"/>
            <w:shd w:val="clear" w:color="auto" w:fill="C0C0C0"/>
          </w:tcPr>
          <w:p>
            <w:pPr>
              <w:spacing w:after="0"/>
              <w:rPr>
                <w:sz w:val="20"/>
                <w:szCs w:val="20"/>
                <w:color w:val="auto"/>
              </w:rPr>
            </w:pPr>
            <w:r>
              <w:rPr>
                <w:rFonts w:ascii="Arial" w:cs="Arial" w:eastAsia="Arial" w:hAnsi="Arial"/>
                <w:sz w:val="18"/>
                <w:szCs w:val="18"/>
                <w:color w:val="auto"/>
              </w:rPr>
              <w:t>Share-based payment awards</w:t>
            </w:r>
          </w:p>
        </w:tc>
        <w:tc>
          <w:tcPr>
            <w:tcW w:w="1160" w:type="dxa"/>
            <w:vAlign w:val="bottom"/>
            <w:gridSpan w:val="2"/>
            <w:shd w:val="clear" w:color="auto" w:fill="C0C0C0"/>
          </w:tcPr>
          <w:p>
            <w:pPr>
              <w:jc w:val="right"/>
              <w:ind w:right="260"/>
              <w:spacing w:after="0"/>
              <w:rPr>
                <w:sz w:val="20"/>
                <w:szCs w:val="20"/>
                <w:color w:val="auto"/>
              </w:rPr>
            </w:pPr>
            <w:r>
              <w:rPr>
                <w:rFonts w:ascii="Arial" w:cs="Arial" w:eastAsia="Arial" w:hAnsi="Arial"/>
                <w:sz w:val="18"/>
                <w:szCs w:val="18"/>
                <w:color w:val="auto"/>
              </w:rPr>
              <w:t>2,816</w:t>
            </w:r>
          </w:p>
        </w:tc>
        <w:tc>
          <w:tcPr>
            <w:tcW w:w="9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2,460</w:t>
            </w:r>
          </w:p>
        </w:tc>
        <w:tc>
          <w:tcPr>
            <w:tcW w:w="20" w:type="dxa"/>
            <w:vAlign w:val="bottom"/>
          </w:tcPr>
          <w:p>
            <w:pPr>
              <w:spacing w:after="0"/>
              <w:rPr>
                <w:sz w:val="21"/>
                <w:szCs w:val="21"/>
                <w:color w:val="auto"/>
              </w:rPr>
            </w:pPr>
          </w:p>
        </w:tc>
      </w:tr>
      <w:tr>
        <w:trPr>
          <w:trHeight w:val="235"/>
        </w:trPr>
        <w:tc>
          <w:tcPr>
            <w:tcW w:w="7080" w:type="dxa"/>
            <w:vAlign w:val="bottom"/>
          </w:tcPr>
          <w:p>
            <w:pPr>
              <w:spacing w:after="0"/>
              <w:rPr>
                <w:sz w:val="20"/>
                <w:szCs w:val="20"/>
                <w:color w:val="auto"/>
              </w:rPr>
            </w:pPr>
            <w:r>
              <w:rPr>
                <w:rFonts w:ascii="Arial" w:cs="Arial" w:eastAsia="Arial" w:hAnsi="Arial"/>
                <w:sz w:val="18"/>
                <w:szCs w:val="18"/>
                <w:color w:val="auto"/>
              </w:rPr>
              <w:t>Common stock warrants</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299</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r>
      <w:tr>
        <w:trPr>
          <w:trHeight w:val="244"/>
        </w:trPr>
        <w:tc>
          <w:tcPr>
            <w:tcW w:w="7080" w:type="dxa"/>
            <w:vAlign w:val="bottom"/>
            <w:shd w:val="clear" w:color="auto" w:fill="C0C0C0"/>
          </w:tcPr>
          <w:p>
            <w:pPr>
              <w:spacing w:after="0"/>
              <w:rPr>
                <w:sz w:val="20"/>
                <w:szCs w:val="20"/>
                <w:color w:val="auto"/>
              </w:rPr>
            </w:pPr>
            <w:r>
              <w:rPr>
                <w:rFonts w:ascii="Arial" w:cs="Arial" w:eastAsia="Arial" w:hAnsi="Arial"/>
                <w:sz w:val="18"/>
                <w:szCs w:val="18"/>
                <w:color w:val="auto"/>
              </w:rPr>
              <w:t>Convertible notes</w:t>
            </w:r>
          </w:p>
        </w:tc>
        <w:tc>
          <w:tcPr>
            <w:tcW w:w="9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0C0C0"/>
          </w:tcPr>
          <w:p>
            <w:pPr>
              <w:spacing w:after="0"/>
              <w:rPr>
                <w:sz w:val="21"/>
                <w:szCs w:val="21"/>
                <w:color w:val="auto"/>
              </w:rPr>
            </w:pPr>
          </w:p>
        </w:tc>
        <w:tc>
          <w:tcPr>
            <w:tcW w:w="9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11,311</w:t>
            </w:r>
          </w:p>
        </w:tc>
        <w:tc>
          <w:tcPr>
            <w:tcW w:w="20" w:type="dxa"/>
            <w:vAlign w:val="bottom"/>
          </w:tcPr>
          <w:p>
            <w:pPr>
              <w:spacing w:after="0"/>
              <w:rPr>
                <w:sz w:val="21"/>
                <w:szCs w:val="21"/>
                <w:color w:val="auto"/>
              </w:rPr>
            </w:pPr>
          </w:p>
        </w:tc>
      </w:tr>
      <w:tr>
        <w:trPr>
          <w:trHeight w:val="250"/>
        </w:trPr>
        <w:tc>
          <w:tcPr>
            <w:tcW w:w="7080" w:type="dxa"/>
            <w:vAlign w:val="bottom"/>
          </w:tcPr>
          <w:p>
            <w:pPr>
              <w:spacing w:after="0"/>
              <w:rPr>
                <w:sz w:val="20"/>
                <w:szCs w:val="20"/>
                <w:color w:val="auto"/>
              </w:rPr>
            </w:pPr>
            <w:r>
              <w:rPr>
                <w:rFonts w:ascii="Arial" w:cs="Arial" w:eastAsia="Arial" w:hAnsi="Arial"/>
                <w:sz w:val="18"/>
                <w:szCs w:val="18"/>
                <w:color w:val="auto"/>
              </w:rPr>
              <w:t>Total potentially dilutive shares excluded</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3,115</w:t>
            </w:r>
          </w:p>
        </w:tc>
        <w:tc>
          <w:tcPr>
            <w:tcW w:w="260" w:type="dxa"/>
            <w:vAlign w:val="bottom"/>
          </w:tcPr>
          <w:p>
            <w:pPr>
              <w:spacing w:after="0"/>
              <w:rPr>
                <w:sz w:val="21"/>
                <w:szCs w:val="21"/>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13,814</w:t>
            </w:r>
          </w:p>
        </w:tc>
      </w:tr>
    </w:tbl>
    <w:p>
      <w:pPr>
        <w:spacing w:after="0" w:line="262" w:lineRule="exact"/>
        <w:rPr>
          <w:sz w:val="20"/>
          <w:szCs w:val="20"/>
          <w:color w:val="auto"/>
        </w:rPr>
      </w:pPr>
    </w:p>
    <w:p>
      <w:pPr>
        <w:ind w:right="240" w:firstLine="270"/>
        <w:spacing w:after="0" w:line="268" w:lineRule="auto"/>
        <w:rPr>
          <w:sz w:val="20"/>
          <w:szCs w:val="20"/>
          <w:color w:val="auto"/>
        </w:rPr>
      </w:pPr>
      <w:r>
        <w:rPr>
          <w:rFonts w:ascii="Arial" w:cs="Arial" w:eastAsia="Arial" w:hAnsi="Arial"/>
          <w:sz w:val="18"/>
          <w:szCs w:val="18"/>
          <w:color w:val="auto"/>
        </w:rPr>
        <w:t>In February 2011, the Company awarded approximately 0.3 million share-based payment awards to its employees, and approximately 0.1 million common stock warrants were exercised.</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611" w:right="2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NOTE 11 – GEOGRAPHIC INFORMATION</w:t>
      </w:r>
    </w:p>
    <w:p>
      <w:pPr>
        <w:spacing w:after="0" w:line="285" w:lineRule="exact"/>
        <w:rPr>
          <w:sz w:val="20"/>
          <w:szCs w:val="20"/>
          <w:color w:val="auto"/>
        </w:rPr>
      </w:pPr>
    </w:p>
    <w:p>
      <w:pPr>
        <w:ind w:firstLine="270"/>
        <w:spacing w:after="0" w:line="298" w:lineRule="auto"/>
        <w:rPr>
          <w:sz w:val="20"/>
          <w:szCs w:val="20"/>
          <w:color w:val="auto"/>
        </w:rPr>
      </w:pPr>
      <w:r>
        <w:rPr>
          <w:rFonts w:ascii="Arial" w:cs="Arial" w:eastAsia="Arial" w:hAnsi="Arial"/>
          <w:sz w:val="16"/>
          <w:szCs w:val="16"/>
          <w:color w:val="auto"/>
        </w:rPr>
        <w:t>The Company operates as a single operating segment as a manufacturer of photomasks, which are high precision quartz plates containing microscopic images of electronic circuits for use in the fabrication of ICs and FPDs. Geographic net sales are based primarily on where the Company's manufacturing facility is located. The Company's net sales by geographic area and for ICs and FPDs for the three month periods ended January 30, 2011 and January 31, 2010 and its long-lived assets by geographic area as of January 30, 2011, and October 31, 2010, are presented below.</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20" w:type="dxa"/>
            <w:vAlign w:val="bottom"/>
            <w:gridSpan w:val="5"/>
          </w:tcPr>
          <w:p>
            <w:pPr>
              <w:ind w:left="80"/>
              <w:spacing w:after="0"/>
              <w:rPr>
                <w:sz w:val="20"/>
                <w:szCs w:val="20"/>
                <w:color w:val="auto"/>
              </w:rPr>
            </w:pPr>
            <w:r>
              <w:rPr>
                <w:rFonts w:ascii="Arial" w:cs="Arial" w:eastAsia="Arial" w:hAnsi="Arial"/>
                <w:sz w:val="18"/>
                <w:szCs w:val="18"/>
                <w:b w:val="1"/>
                <w:bCs w:val="1"/>
                <w:color w:val="auto"/>
              </w:rPr>
              <w:t>Three Months Ended</w:t>
            </w:r>
          </w:p>
        </w:tc>
      </w:tr>
      <w:tr>
        <w:trPr>
          <w:trHeight w:val="228"/>
        </w:trPr>
        <w:tc>
          <w:tcPr>
            <w:tcW w:w="7080" w:type="dxa"/>
            <w:vAlign w:val="bottom"/>
          </w:tcPr>
          <w:p>
            <w:pPr>
              <w:spacing w:after="0"/>
              <w:rPr>
                <w:sz w:val="19"/>
                <w:szCs w:val="19"/>
                <w:color w:val="auto"/>
              </w:rPr>
            </w:pPr>
          </w:p>
        </w:tc>
        <w:tc>
          <w:tcPr>
            <w:tcW w:w="116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rPr>
              <w:t>January 30,</w:t>
            </w:r>
          </w:p>
        </w:tc>
        <w:tc>
          <w:tcPr>
            <w:tcW w:w="90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88"/>
              </w:rPr>
              <w:t>January 31,</w:t>
            </w:r>
          </w:p>
        </w:tc>
        <w:tc>
          <w:tcPr>
            <w:tcW w:w="20" w:type="dxa"/>
            <w:vAlign w:val="bottom"/>
          </w:tcPr>
          <w:p>
            <w:pPr>
              <w:spacing w:after="0"/>
              <w:rPr>
                <w:sz w:val="19"/>
                <w:szCs w:val="19"/>
                <w:color w:val="auto"/>
              </w:rPr>
            </w:pPr>
          </w:p>
        </w:tc>
      </w:tr>
      <w:tr>
        <w:trPr>
          <w:trHeight w:val="251"/>
        </w:trPr>
        <w:tc>
          <w:tcPr>
            <w:tcW w:w="7080" w:type="dxa"/>
            <w:vAlign w:val="bottom"/>
            <w:tcBorders>
              <w:bottom w:val="single" w:sz="8" w:color="C0C0C0"/>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2011</w:t>
            </w:r>
          </w:p>
        </w:tc>
        <w:tc>
          <w:tcPr>
            <w:tcW w:w="260" w:type="dxa"/>
            <w:vAlign w:val="bottom"/>
            <w:tcBorders>
              <w:bottom w:val="single" w:sz="8" w:color="C0C0C0"/>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2010</w:t>
            </w:r>
          </w:p>
        </w:tc>
        <w:tc>
          <w:tcPr>
            <w:tcW w:w="20" w:type="dxa"/>
            <w:vAlign w:val="bottom"/>
          </w:tcPr>
          <w:p>
            <w:pPr>
              <w:spacing w:after="0"/>
              <w:rPr>
                <w:sz w:val="21"/>
                <w:szCs w:val="21"/>
                <w:color w:val="auto"/>
              </w:rPr>
            </w:pPr>
          </w:p>
        </w:tc>
      </w:tr>
      <w:tr>
        <w:trPr>
          <w:trHeight w:val="243"/>
        </w:trPr>
        <w:tc>
          <w:tcPr>
            <w:tcW w:w="7080" w:type="dxa"/>
            <w:vAlign w:val="bottom"/>
            <w:shd w:val="clear" w:color="auto" w:fill="C0C0C0"/>
          </w:tcPr>
          <w:p>
            <w:pPr>
              <w:spacing w:after="0"/>
              <w:rPr>
                <w:sz w:val="20"/>
                <w:szCs w:val="20"/>
                <w:color w:val="auto"/>
              </w:rPr>
            </w:pPr>
            <w:r>
              <w:rPr>
                <w:rFonts w:ascii="Arial" w:cs="Arial" w:eastAsia="Arial" w:hAnsi="Arial"/>
                <w:sz w:val="18"/>
                <w:szCs w:val="18"/>
                <w:b w:val="1"/>
                <w:bCs w:val="1"/>
                <w:color w:val="auto"/>
              </w:rPr>
              <w:t>Net sales</w:t>
            </w:r>
          </w:p>
        </w:tc>
        <w:tc>
          <w:tcPr>
            <w:tcW w:w="160" w:type="dxa"/>
            <w:vAlign w:val="bottom"/>
            <w:shd w:val="clear" w:color="auto" w:fill="C0C0C0"/>
          </w:tcPr>
          <w:p>
            <w:pPr>
              <w:spacing w:after="0"/>
              <w:rPr>
                <w:sz w:val="21"/>
                <w:szCs w:val="21"/>
                <w:color w:val="auto"/>
              </w:rPr>
            </w:pPr>
          </w:p>
        </w:tc>
        <w:tc>
          <w:tcPr>
            <w:tcW w:w="74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72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35"/>
        </w:trPr>
        <w:tc>
          <w:tcPr>
            <w:tcW w:w="7080" w:type="dxa"/>
            <w:vAlign w:val="bottom"/>
          </w:tcPr>
          <w:p>
            <w:pPr>
              <w:ind w:left="300"/>
              <w:spacing w:after="0"/>
              <w:rPr>
                <w:sz w:val="20"/>
                <w:szCs w:val="20"/>
                <w:color w:val="auto"/>
              </w:rPr>
            </w:pPr>
            <w:r>
              <w:rPr>
                <w:rFonts w:ascii="Arial" w:cs="Arial" w:eastAsia="Arial" w:hAnsi="Arial"/>
                <w:sz w:val="18"/>
                <w:szCs w:val="18"/>
                <w:color w:val="auto"/>
              </w:rPr>
              <w:t>Asia</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78,691</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60,807</w:t>
            </w:r>
          </w:p>
        </w:tc>
      </w:tr>
      <w:tr>
        <w:trPr>
          <w:trHeight w:val="251"/>
        </w:trPr>
        <w:tc>
          <w:tcPr>
            <w:tcW w:w="7080" w:type="dxa"/>
            <w:vAlign w:val="bottom"/>
            <w:shd w:val="clear" w:color="auto" w:fill="C0C0C0"/>
          </w:tcPr>
          <w:p>
            <w:pPr>
              <w:ind w:left="320"/>
              <w:spacing w:after="0"/>
              <w:rPr>
                <w:sz w:val="20"/>
                <w:szCs w:val="20"/>
                <w:color w:val="auto"/>
              </w:rPr>
            </w:pPr>
            <w:r>
              <w:rPr>
                <w:rFonts w:ascii="Arial" w:cs="Arial" w:eastAsia="Arial" w:hAnsi="Arial"/>
                <w:sz w:val="18"/>
                <w:szCs w:val="18"/>
                <w:color w:val="auto"/>
              </w:rPr>
              <w:t>Europe</w:t>
            </w:r>
          </w:p>
        </w:tc>
        <w:tc>
          <w:tcPr>
            <w:tcW w:w="160" w:type="dxa"/>
            <w:vAlign w:val="bottom"/>
            <w:shd w:val="clear" w:color="auto" w:fill="C0C0C0"/>
          </w:tcPr>
          <w:p>
            <w:pPr>
              <w:spacing w:after="0"/>
              <w:rPr>
                <w:sz w:val="21"/>
                <w:szCs w:val="21"/>
                <w:color w:val="auto"/>
              </w:rPr>
            </w:pPr>
          </w:p>
        </w:tc>
        <w:tc>
          <w:tcPr>
            <w:tcW w:w="1000" w:type="dxa"/>
            <w:vAlign w:val="bottom"/>
            <w:gridSpan w:val="2"/>
            <w:shd w:val="clear" w:color="auto" w:fill="C0C0C0"/>
          </w:tcPr>
          <w:p>
            <w:pPr>
              <w:jc w:val="right"/>
              <w:ind w:right="260"/>
              <w:spacing w:after="0"/>
              <w:rPr>
                <w:sz w:val="20"/>
                <w:szCs w:val="20"/>
                <w:color w:val="auto"/>
              </w:rPr>
            </w:pPr>
            <w:r>
              <w:rPr>
                <w:rFonts w:ascii="Arial" w:cs="Arial" w:eastAsia="Arial" w:hAnsi="Arial"/>
                <w:sz w:val="18"/>
                <w:szCs w:val="18"/>
                <w:color w:val="auto"/>
              </w:rPr>
              <w:t>10,764</w:t>
            </w:r>
          </w:p>
        </w:tc>
        <w:tc>
          <w:tcPr>
            <w:tcW w:w="180" w:type="dxa"/>
            <w:vAlign w:val="bottom"/>
            <w:shd w:val="clear" w:color="auto" w:fill="C0C0C0"/>
          </w:tcPr>
          <w:p>
            <w:pPr>
              <w:spacing w:after="0"/>
              <w:rPr>
                <w:sz w:val="21"/>
                <w:szCs w:val="21"/>
                <w:color w:val="auto"/>
              </w:rPr>
            </w:pP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9,518</w:t>
            </w:r>
          </w:p>
        </w:tc>
        <w:tc>
          <w:tcPr>
            <w:tcW w:w="20" w:type="dxa"/>
            <w:vAlign w:val="bottom"/>
          </w:tcPr>
          <w:p>
            <w:pPr>
              <w:spacing w:after="0"/>
              <w:rPr>
                <w:sz w:val="21"/>
                <w:szCs w:val="21"/>
                <w:color w:val="auto"/>
              </w:rPr>
            </w:pPr>
          </w:p>
        </w:tc>
      </w:tr>
      <w:tr>
        <w:trPr>
          <w:trHeight w:val="237"/>
        </w:trPr>
        <w:tc>
          <w:tcPr>
            <w:tcW w:w="7080" w:type="dxa"/>
            <w:vAlign w:val="bottom"/>
            <w:tcBorders>
              <w:bottom w:val="single" w:sz="8" w:color="C0C0C0"/>
            </w:tcBorders>
          </w:tcPr>
          <w:p>
            <w:pPr>
              <w:ind w:left="320"/>
              <w:spacing w:after="0"/>
              <w:rPr>
                <w:sz w:val="20"/>
                <w:szCs w:val="20"/>
                <w:color w:val="auto"/>
              </w:rPr>
            </w:pPr>
            <w:r>
              <w:rPr>
                <w:rFonts w:ascii="Arial" w:cs="Arial" w:eastAsia="Arial" w:hAnsi="Arial"/>
                <w:sz w:val="18"/>
                <w:szCs w:val="18"/>
                <w:color w:val="auto"/>
              </w:rPr>
              <w:t>North America</w:t>
            </w: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31,368</w:t>
            </w:r>
          </w:p>
        </w:tc>
        <w:tc>
          <w:tcPr>
            <w:tcW w:w="260" w:type="dxa"/>
            <w:vAlign w:val="bottom"/>
            <w:tcBorders>
              <w:bottom w:val="single" w:sz="8" w:color="C0C0C0"/>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27,872</w:t>
            </w:r>
          </w:p>
        </w:tc>
        <w:tc>
          <w:tcPr>
            <w:tcW w:w="20" w:type="dxa"/>
            <w:vAlign w:val="bottom"/>
          </w:tcPr>
          <w:p>
            <w:pPr>
              <w:spacing w:after="0"/>
              <w:rPr>
                <w:sz w:val="20"/>
                <w:szCs w:val="20"/>
                <w:color w:val="auto"/>
              </w:rPr>
            </w:pPr>
          </w:p>
        </w:tc>
      </w:tr>
      <w:tr>
        <w:trPr>
          <w:trHeight w:val="257"/>
        </w:trPr>
        <w:tc>
          <w:tcPr>
            <w:tcW w:w="7080" w:type="dxa"/>
            <w:vAlign w:val="bottom"/>
            <w:tcBorders>
              <w:bottom w:val="single" w:sz="8" w:color="C0C0C0"/>
            </w:tcBorders>
            <w:shd w:val="clear" w:color="auto" w:fill="C0C0C0"/>
          </w:tcPr>
          <w:p>
            <w:pPr>
              <w:spacing w:after="0"/>
              <w:rPr>
                <w:sz w:val="22"/>
                <w:szCs w:val="22"/>
                <w:color w:val="auto"/>
              </w:rPr>
            </w:pPr>
          </w:p>
        </w:tc>
        <w:tc>
          <w:tcPr>
            <w:tcW w:w="16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120,823</w:t>
            </w:r>
          </w:p>
        </w:tc>
        <w:tc>
          <w:tcPr>
            <w:tcW w:w="260" w:type="dxa"/>
            <w:vAlign w:val="bottom"/>
            <w:tcBorders>
              <w:bottom w:val="single" w:sz="8" w:color="C0C0C0"/>
            </w:tcBorders>
            <w:shd w:val="clear" w:color="auto" w:fill="C0C0C0"/>
          </w:tcPr>
          <w:p>
            <w:pPr>
              <w:spacing w:after="0"/>
              <w:rPr>
                <w:sz w:val="22"/>
                <w:szCs w:val="22"/>
                <w:color w:val="auto"/>
              </w:rPr>
            </w:pPr>
          </w:p>
        </w:tc>
        <w:tc>
          <w:tcPr>
            <w:tcW w:w="18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98,197</w:t>
            </w:r>
          </w:p>
        </w:tc>
        <w:tc>
          <w:tcPr>
            <w:tcW w:w="20" w:type="dxa"/>
            <w:vAlign w:val="bottom"/>
          </w:tcPr>
          <w:p>
            <w:pPr>
              <w:spacing w:after="0"/>
              <w:rPr>
                <w:sz w:val="22"/>
                <w:szCs w:val="22"/>
                <w:color w:val="auto"/>
              </w:rPr>
            </w:pPr>
          </w:p>
        </w:tc>
      </w:tr>
      <w:tr>
        <w:trPr>
          <w:trHeight w:val="229"/>
        </w:trPr>
        <w:tc>
          <w:tcPr>
            <w:tcW w:w="7080" w:type="dxa"/>
            <w:vAlign w:val="bottom"/>
          </w:tcPr>
          <w:p>
            <w:pPr>
              <w:ind w:left="320"/>
              <w:spacing w:after="0"/>
              <w:rPr>
                <w:sz w:val="20"/>
                <w:szCs w:val="20"/>
                <w:color w:val="auto"/>
              </w:rPr>
            </w:pPr>
            <w:r>
              <w:rPr>
                <w:rFonts w:ascii="Arial" w:cs="Arial" w:eastAsia="Arial" w:hAnsi="Arial"/>
                <w:sz w:val="18"/>
                <w:szCs w:val="18"/>
                <w:color w:val="auto"/>
              </w:rPr>
              <w:t>IC</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88,801</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74,492</w:t>
            </w:r>
          </w:p>
        </w:tc>
      </w:tr>
      <w:tr>
        <w:trPr>
          <w:trHeight w:val="244"/>
        </w:trPr>
        <w:tc>
          <w:tcPr>
            <w:tcW w:w="7080" w:type="dxa"/>
            <w:vAlign w:val="bottom"/>
            <w:shd w:val="clear" w:color="auto" w:fill="C0C0C0"/>
          </w:tcPr>
          <w:p>
            <w:pPr>
              <w:ind w:left="320"/>
              <w:spacing w:after="0"/>
              <w:rPr>
                <w:sz w:val="20"/>
                <w:szCs w:val="20"/>
                <w:color w:val="auto"/>
              </w:rPr>
            </w:pPr>
            <w:r>
              <w:rPr>
                <w:rFonts w:ascii="Arial" w:cs="Arial" w:eastAsia="Arial" w:hAnsi="Arial"/>
                <w:sz w:val="18"/>
                <w:szCs w:val="18"/>
                <w:color w:val="auto"/>
              </w:rPr>
              <w:t>FPD</w:t>
            </w:r>
          </w:p>
        </w:tc>
        <w:tc>
          <w:tcPr>
            <w:tcW w:w="160" w:type="dxa"/>
            <w:vAlign w:val="bottom"/>
            <w:tcBorders>
              <w:bottom w:val="single" w:sz="8" w:color="auto"/>
            </w:tcBorders>
            <w:shd w:val="clear" w:color="auto" w:fill="C0C0C0"/>
          </w:tcPr>
          <w:p>
            <w:pPr>
              <w:spacing w:after="0"/>
              <w:rPr>
                <w:sz w:val="21"/>
                <w:szCs w:val="21"/>
                <w:color w:val="auto"/>
              </w:rPr>
            </w:pPr>
          </w:p>
        </w:tc>
        <w:tc>
          <w:tcPr>
            <w:tcW w:w="7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32,022</w:t>
            </w:r>
          </w:p>
        </w:tc>
        <w:tc>
          <w:tcPr>
            <w:tcW w:w="260" w:type="dxa"/>
            <w:vAlign w:val="bottom"/>
            <w:shd w:val="clear" w:color="auto" w:fill="C0C0C0"/>
          </w:tcPr>
          <w:p>
            <w:pPr>
              <w:spacing w:after="0"/>
              <w:rPr>
                <w:sz w:val="21"/>
                <w:szCs w:val="21"/>
                <w:color w:val="auto"/>
              </w:rPr>
            </w:pPr>
          </w:p>
        </w:tc>
        <w:tc>
          <w:tcPr>
            <w:tcW w:w="180" w:type="dxa"/>
            <w:vAlign w:val="bottom"/>
            <w:tcBorders>
              <w:bottom w:val="single" w:sz="8" w:color="auto"/>
            </w:tcBorders>
            <w:shd w:val="clear" w:color="auto" w:fill="C0C0C0"/>
          </w:tcPr>
          <w:p>
            <w:pPr>
              <w:spacing w:after="0"/>
              <w:rPr>
                <w:sz w:val="21"/>
                <w:szCs w:val="21"/>
                <w:color w:val="auto"/>
              </w:rPr>
            </w:pPr>
          </w:p>
        </w:tc>
        <w:tc>
          <w:tcPr>
            <w:tcW w:w="7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23,705</w:t>
            </w:r>
          </w:p>
        </w:tc>
        <w:tc>
          <w:tcPr>
            <w:tcW w:w="20" w:type="dxa"/>
            <w:vAlign w:val="bottom"/>
          </w:tcPr>
          <w:p>
            <w:pPr>
              <w:spacing w:after="0"/>
              <w:rPr>
                <w:sz w:val="21"/>
                <w:szCs w:val="21"/>
                <w:color w:val="auto"/>
              </w:rPr>
            </w:pPr>
          </w:p>
        </w:tc>
      </w:tr>
      <w:tr>
        <w:trPr>
          <w:trHeight w:val="250"/>
        </w:trPr>
        <w:tc>
          <w:tcPr>
            <w:tcW w:w="7080" w:type="dxa"/>
            <w:vAlign w:val="bottom"/>
          </w:tcPr>
          <w:p>
            <w:pPr>
              <w:spacing w:after="0"/>
              <w:rPr>
                <w:sz w:val="21"/>
                <w:szCs w:val="21"/>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120,823</w:t>
            </w:r>
          </w:p>
        </w:tc>
        <w:tc>
          <w:tcPr>
            <w:tcW w:w="260" w:type="dxa"/>
            <w:vAlign w:val="bottom"/>
          </w:tcPr>
          <w:p>
            <w:pPr>
              <w:spacing w:after="0"/>
              <w:rPr>
                <w:sz w:val="21"/>
                <w:szCs w:val="21"/>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98,197</w:t>
            </w:r>
          </w:p>
        </w:tc>
      </w:tr>
    </w:tbl>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0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4"/>
          </w:tcPr>
          <w:p>
            <w:pPr>
              <w:ind w:left="660"/>
              <w:spacing w:after="0"/>
              <w:rPr>
                <w:sz w:val="20"/>
                <w:szCs w:val="20"/>
                <w:color w:val="auto"/>
              </w:rPr>
            </w:pPr>
            <w:r>
              <w:rPr>
                <w:rFonts w:ascii="Arial" w:cs="Arial" w:eastAsia="Arial" w:hAnsi="Arial"/>
                <w:sz w:val="18"/>
                <w:szCs w:val="18"/>
                <w:b w:val="1"/>
                <w:bCs w:val="1"/>
                <w:color w:val="auto"/>
              </w:rPr>
              <w:t>As of</w:t>
            </w:r>
          </w:p>
        </w:tc>
        <w:tc>
          <w:tcPr>
            <w:tcW w:w="7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28"/>
        </w:trPr>
        <w:tc>
          <w:tcPr>
            <w:tcW w:w="7080" w:type="dxa"/>
            <w:vAlign w:val="bottom"/>
          </w:tcPr>
          <w:p>
            <w:pPr>
              <w:spacing w:after="0"/>
              <w:rPr>
                <w:sz w:val="19"/>
                <w:szCs w:val="19"/>
                <w:color w:val="auto"/>
              </w:rPr>
            </w:pPr>
          </w:p>
        </w:tc>
        <w:tc>
          <w:tcPr>
            <w:tcW w:w="1040" w:type="dxa"/>
            <w:vAlign w:val="bottom"/>
            <w:gridSpan w:val="3"/>
          </w:tcPr>
          <w:p>
            <w:pPr>
              <w:spacing w:after="0"/>
              <w:rPr>
                <w:sz w:val="20"/>
                <w:szCs w:val="20"/>
                <w:color w:val="auto"/>
              </w:rPr>
            </w:pPr>
            <w:r>
              <w:rPr>
                <w:rFonts w:ascii="Arial" w:cs="Arial" w:eastAsia="Arial" w:hAnsi="Arial"/>
                <w:sz w:val="18"/>
                <w:szCs w:val="18"/>
                <w:b w:val="1"/>
                <w:bCs w:val="1"/>
                <w:color w:val="auto"/>
              </w:rPr>
              <w:t>January 30,</w:t>
            </w:r>
          </w:p>
        </w:tc>
        <w:tc>
          <w:tcPr>
            <w:tcW w:w="120" w:type="dxa"/>
            <w:vAlign w:val="bottom"/>
          </w:tcPr>
          <w:p>
            <w:pPr>
              <w:spacing w:after="0"/>
              <w:rPr>
                <w:sz w:val="19"/>
                <w:szCs w:val="19"/>
                <w:color w:val="auto"/>
              </w:rPr>
            </w:pPr>
          </w:p>
        </w:tc>
        <w:tc>
          <w:tcPr>
            <w:tcW w:w="900" w:type="dxa"/>
            <w:vAlign w:val="bottom"/>
            <w:gridSpan w:val="2"/>
          </w:tcPr>
          <w:p>
            <w:pPr>
              <w:ind w:left="20"/>
              <w:spacing w:after="0"/>
              <w:rPr>
                <w:sz w:val="20"/>
                <w:szCs w:val="20"/>
                <w:color w:val="auto"/>
              </w:rPr>
            </w:pPr>
            <w:r>
              <w:rPr>
                <w:rFonts w:ascii="Arial" w:cs="Arial" w:eastAsia="Arial" w:hAnsi="Arial"/>
                <w:sz w:val="18"/>
                <w:szCs w:val="18"/>
                <w:b w:val="1"/>
                <w:bCs w:val="1"/>
                <w:color w:val="auto"/>
                <w:w w:val="86"/>
              </w:rPr>
              <w:t>October 31,</w:t>
            </w:r>
          </w:p>
        </w:tc>
        <w:tc>
          <w:tcPr>
            <w:tcW w:w="20" w:type="dxa"/>
            <w:vAlign w:val="bottom"/>
          </w:tcPr>
          <w:p>
            <w:pPr>
              <w:spacing w:after="0"/>
              <w:rPr>
                <w:sz w:val="19"/>
                <w:szCs w:val="19"/>
                <w:color w:val="auto"/>
              </w:rPr>
            </w:pPr>
          </w:p>
        </w:tc>
      </w:tr>
      <w:tr>
        <w:trPr>
          <w:trHeight w:val="251"/>
        </w:trPr>
        <w:tc>
          <w:tcPr>
            <w:tcW w:w="7080" w:type="dxa"/>
            <w:vAlign w:val="bottom"/>
            <w:tcBorders>
              <w:bottom w:val="single" w:sz="8" w:color="C0C0C0"/>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2011</w:t>
            </w:r>
          </w:p>
        </w:tc>
        <w:tc>
          <w:tcPr>
            <w:tcW w:w="140" w:type="dxa"/>
            <w:vAlign w:val="bottom"/>
            <w:tcBorders>
              <w:bottom w:val="single" w:sz="8" w:color="C0C0C0"/>
            </w:tcBorders>
          </w:tcPr>
          <w:p>
            <w:pPr>
              <w:spacing w:after="0"/>
              <w:rPr>
                <w:sz w:val="21"/>
                <w:szCs w:val="21"/>
                <w:color w:val="auto"/>
              </w:rPr>
            </w:pPr>
          </w:p>
        </w:tc>
        <w:tc>
          <w:tcPr>
            <w:tcW w:w="120" w:type="dxa"/>
            <w:vAlign w:val="bottom"/>
            <w:tcBorders>
              <w:bottom w:val="single" w:sz="8" w:color="C0C0C0"/>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2010</w:t>
            </w:r>
          </w:p>
        </w:tc>
        <w:tc>
          <w:tcPr>
            <w:tcW w:w="20" w:type="dxa"/>
            <w:vAlign w:val="bottom"/>
          </w:tcPr>
          <w:p>
            <w:pPr>
              <w:spacing w:after="0"/>
              <w:rPr>
                <w:sz w:val="21"/>
                <w:szCs w:val="21"/>
                <w:color w:val="auto"/>
              </w:rPr>
            </w:pPr>
          </w:p>
        </w:tc>
      </w:tr>
      <w:tr>
        <w:trPr>
          <w:trHeight w:val="243"/>
        </w:trPr>
        <w:tc>
          <w:tcPr>
            <w:tcW w:w="7080" w:type="dxa"/>
            <w:vAlign w:val="bottom"/>
            <w:shd w:val="clear" w:color="auto" w:fill="C0C0C0"/>
          </w:tcPr>
          <w:p>
            <w:pPr>
              <w:spacing w:after="0"/>
              <w:rPr>
                <w:sz w:val="20"/>
                <w:szCs w:val="20"/>
                <w:color w:val="auto"/>
              </w:rPr>
            </w:pPr>
            <w:r>
              <w:rPr>
                <w:rFonts w:ascii="Arial" w:cs="Arial" w:eastAsia="Arial" w:hAnsi="Arial"/>
                <w:sz w:val="18"/>
                <w:szCs w:val="18"/>
                <w:b w:val="1"/>
                <w:bCs w:val="1"/>
                <w:color w:val="auto"/>
              </w:rPr>
              <w:t>Long-lived assets</w:t>
            </w:r>
          </w:p>
        </w:tc>
        <w:tc>
          <w:tcPr>
            <w:tcW w:w="180" w:type="dxa"/>
            <w:vAlign w:val="bottom"/>
            <w:shd w:val="clear" w:color="auto" w:fill="C0C0C0"/>
          </w:tcPr>
          <w:p>
            <w:pPr>
              <w:spacing w:after="0"/>
              <w:rPr>
                <w:sz w:val="21"/>
                <w:szCs w:val="21"/>
                <w:color w:val="auto"/>
              </w:rPr>
            </w:pPr>
          </w:p>
        </w:tc>
        <w:tc>
          <w:tcPr>
            <w:tcW w:w="720" w:type="dxa"/>
            <w:vAlign w:val="bottom"/>
            <w:shd w:val="clear" w:color="auto" w:fill="C0C0C0"/>
          </w:tcPr>
          <w:p>
            <w:pPr>
              <w:spacing w:after="0"/>
              <w:rPr>
                <w:sz w:val="21"/>
                <w:szCs w:val="21"/>
                <w:color w:val="auto"/>
              </w:rPr>
            </w:pPr>
          </w:p>
        </w:tc>
        <w:tc>
          <w:tcPr>
            <w:tcW w:w="14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72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35"/>
        </w:trPr>
        <w:tc>
          <w:tcPr>
            <w:tcW w:w="7080" w:type="dxa"/>
            <w:vAlign w:val="bottom"/>
          </w:tcPr>
          <w:p>
            <w:pPr>
              <w:ind w:left="300"/>
              <w:spacing w:after="0"/>
              <w:rPr>
                <w:sz w:val="20"/>
                <w:szCs w:val="20"/>
                <w:color w:val="auto"/>
              </w:rPr>
            </w:pPr>
            <w:r>
              <w:rPr>
                <w:rFonts w:ascii="Arial" w:cs="Arial" w:eastAsia="Arial" w:hAnsi="Arial"/>
                <w:sz w:val="18"/>
                <w:szCs w:val="18"/>
                <w:color w:val="auto"/>
              </w:rPr>
              <w:t>Asia</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220,714</w:t>
            </w:r>
          </w:p>
        </w:tc>
        <w:tc>
          <w:tcPr>
            <w:tcW w:w="3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221,283</w:t>
            </w:r>
          </w:p>
        </w:tc>
      </w:tr>
      <w:tr>
        <w:trPr>
          <w:trHeight w:val="251"/>
        </w:trPr>
        <w:tc>
          <w:tcPr>
            <w:tcW w:w="7080" w:type="dxa"/>
            <w:vAlign w:val="bottom"/>
            <w:shd w:val="clear" w:color="auto" w:fill="C0C0C0"/>
          </w:tcPr>
          <w:p>
            <w:pPr>
              <w:ind w:left="320"/>
              <w:spacing w:after="0"/>
              <w:rPr>
                <w:sz w:val="20"/>
                <w:szCs w:val="20"/>
                <w:color w:val="auto"/>
              </w:rPr>
            </w:pPr>
            <w:r>
              <w:rPr>
                <w:rFonts w:ascii="Arial" w:cs="Arial" w:eastAsia="Arial" w:hAnsi="Arial"/>
                <w:sz w:val="18"/>
                <w:szCs w:val="18"/>
                <w:color w:val="auto"/>
              </w:rPr>
              <w:t>Europe</w:t>
            </w:r>
          </w:p>
        </w:tc>
        <w:tc>
          <w:tcPr>
            <w:tcW w:w="180" w:type="dxa"/>
            <w:vAlign w:val="bottom"/>
            <w:shd w:val="clear" w:color="auto" w:fill="C0C0C0"/>
          </w:tcPr>
          <w:p>
            <w:pPr>
              <w:spacing w:after="0"/>
              <w:rPr>
                <w:sz w:val="21"/>
                <w:szCs w:val="21"/>
                <w:color w:val="auto"/>
              </w:rPr>
            </w:pPr>
          </w:p>
        </w:tc>
        <w:tc>
          <w:tcPr>
            <w:tcW w:w="86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13,506</w:t>
            </w:r>
          </w:p>
        </w:tc>
        <w:tc>
          <w:tcPr>
            <w:tcW w:w="12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14,182</w:t>
            </w:r>
          </w:p>
        </w:tc>
        <w:tc>
          <w:tcPr>
            <w:tcW w:w="20" w:type="dxa"/>
            <w:vAlign w:val="bottom"/>
          </w:tcPr>
          <w:p>
            <w:pPr>
              <w:spacing w:after="0"/>
              <w:rPr>
                <w:sz w:val="21"/>
                <w:szCs w:val="21"/>
                <w:color w:val="auto"/>
              </w:rPr>
            </w:pPr>
          </w:p>
        </w:tc>
      </w:tr>
      <w:tr>
        <w:trPr>
          <w:trHeight w:val="237"/>
        </w:trPr>
        <w:tc>
          <w:tcPr>
            <w:tcW w:w="7080" w:type="dxa"/>
            <w:vAlign w:val="bottom"/>
            <w:tcBorders>
              <w:bottom w:val="single" w:sz="8" w:color="C0C0C0"/>
            </w:tcBorders>
          </w:tcPr>
          <w:p>
            <w:pPr>
              <w:ind w:left="320"/>
              <w:spacing w:after="0"/>
              <w:rPr>
                <w:sz w:val="20"/>
                <w:szCs w:val="20"/>
                <w:color w:val="auto"/>
              </w:rPr>
            </w:pPr>
            <w:r>
              <w:rPr>
                <w:rFonts w:ascii="Arial" w:cs="Arial" w:eastAsia="Arial" w:hAnsi="Arial"/>
                <w:sz w:val="18"/>
                <w:szCs w:val="18"/>
                <w:color w:val="auto"/>
              </w:rPr>
              <w:t>North America</w:t>
            </w: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152,640</w:t>
            </w:r>
          </w:p>
        </w:tc>
        <w:tc>
          <w:tcPr>
            <w:tcW w:w="140" w:type="dxa"/>
            <w:vAlign w:val="bottom"/>
            <w:tcBorders>
              <w:bottom w:val="single" w:sz="8" w:color="C0C0C0"/>
            </w:tcBorders>
          </w:tcPr>
          <w:p>
            <w:pPr>
              <w:spacing w:after="0"/>
              <w:rPr>
                <w:sz w:val="20"/>
                <w:szCs w:val="20"/>
                <w:color w:val="auto"/>
              </w:rPr>
            </w:pPr>
          </w:p>
        </w:tc>
        <w:tc>
          <w:tcPr>
            <w:tcW w:w="120" w:type="dxa"/>
            <w:vAlign w:val="bottom"/>
            <w:tcBorders>
              <w:bottom w:val="single" w:sz="8" w:color="C0C0C0"/>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134,349</w:t>
            </w:r>
          </w:p>
        </w:tc>
        <w:tc>
          <w:tcPr>
            <w:tcW w:w="20" w:type="dxa"/>
            <w:vAlign w:val="bottom"/>
          </w:tcPr>
          <w:p>
            <w:pPr>
              <w:spacing w:after="0"/>
              <w:rPr>
                <w:sz w:val="20"/>
                <w:szCs w:val="20"/>
                <w:color w:val="auto"/>
              </w:rPr>
            </w:pPr>
          </w:p>
        </w:tc>
      </w:tr>
      <w:tr>
        <w:trPr>
          <w:trHeight w:val="250"/>
        </w:trPr>
        <w:tc>
          <w:tcPr>
            <w:tcW w:w="7080" w:type="dxa"/>
            <w:vAlign w:val="bottom"/>
            <w:tcBorders>
              <w:bottom w:val="single" w:sz="8" w:color="C0C0C0"/>
            </w:tcBorders>
            <w:shd w:val="clear" w:color="auto" w:fill="C0C0C0"/>
          </w:tcPr>
          <w:p>
            <w:pPr>
              <w:spacing w:after="0"/>
              <w:rPr>
                <w:sz w:val="21"/>
                <w:szCs w:val="21"/>
                <w:color w:val="auto"/>
              </w:rPr>
            </w:pPr>
          </w:p>
        </w:tc>
        <w:tc>
          <w:tcPr>
            <w:tcW w:w="18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386,860</w:t>
            </w:r>
          </w:p>
        </w:tc>
        <w:tc>
          <w:tcPr>
            <w:tcW w:w="140" w:type="dxa"/>
            <w:vAlign w:val="bottom"/>
            <w:tcBorders>
              <w:bottom w:val="single" w:sz="8" w:color="C0C0C0"/>
            </w:tcBorders>
            <w:shd w:val="clear" w:color="auto" w:fill="C0C0C0"/>
          </w:tcPr>
          <w:p>
            <w:pPr>
              <w:spacing w:after="0"/>
              <w:rPr>
                <w:sz w:val="21"/>
                <w:szCs w:val="21"/>
                <w:color w:val="auto"/>
              </w:rPr>
            </w:pPr>
          </w:p>
        </w:tc>
        <w:tc>
          <w:tcPr>
            <w:tcW w:w="120" w:type="dxa"/>
            <w:vAlign w:val="bottom"/>
            <w:tcBorders>
              <w:bottom w:val="single" w:sz="8" w:color="C0C0C0"/>
            </w:tcBorders>
            <w:shd w:val="clear" w:color="auto" w:fill="C0C0C0"/>
          </w:tcPr>
          <w:p>
            <w:pPr>
              <w:spacing w:after="0"/>
              <w:rPr>
                <w:sz w:val="21"/>
                <w:szCs w:val="21"/>
                <w:color w:val="auto"/>
              </w:rPr>
            </w:pPr>
          </w:p>
        </w:tc>
        <w:tc>
          <w:tcPr>
            <w:tcW w:w="18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369,814</w:t>
            </w:r>
          </w:p>
        </w:tc>
        <w:tc>
          <w:tcPr>
            <w:tcW w:w="20" w:type="dxa"/>
            <w:vAlign w:val="bottom"/>
          </w:tcPr>
          <w:p>
            <w:pPr>
              <w:spacing w:after="0"/>
              <w:rPr>
                <w:sz w:val="21"/>
                <w:szCs w:val="2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FAIR VALUE MEASUREMENTS</w:t>
      </w:r>
    </w:p>
    <w:p>
      <w:pPr>
        <w:spacing w:after="0" w:line="285" w:lineRule="exact"/>
        <w:rPr>
          <w:sz w:val="20"/>
          <w:szCs w:val="20"/>
          <w:color w:val="auto"/>
        </w:rPr>
      </w:pPr>
    </w:p>
    <w:p>
      <w:pPr>
        <w:ind w:firstLine="270"/>
        <w:spacing w:after="0" w:line="291" w:lineRule="auto"/>
        <w:rPr>
          <w:sz w:val="20"/>
          <w:szCs w:val="20"/>
          <w:color w:val="auto"/>
        </w:rPr>
      </w:pPr>
      <w:r>
        <w:rPr>
          <w:rFonts w:ascii="Arial" w:cs="Arial" w:eastAsia="Arial" w:hAnsi="Arial"/>
          <w:sz w:val="16"/>
          <w:szCs w:val="16"/>
          <w:color w:val="auto"/>
        </w:rPr>
        <w:t>Fair value, as defined in accounting guidance, is the price that would be received to sell an asset or transfer a liability in an orderly transaction between market participants at the measurement date. An "orderly transaction" is a transaction that assumes exposure to the market for a period prior to the measurement date to allow for marketing activities that are usual and customary for transactions involving such assets or liabilities (i.e. it is not a forced transaction). The transaction to sell an asset or transfer a liability is a hypothetical transaction at the measurement date, considered from the perspective of a market participant that holds the asset or owes the liability. Therefore, the objective of a fair value measurement is to determine the price that would be received to sell the asset or paid to transfer the liability (an exit price) at the measurement date.</w:t>
      </w:r>
    </w:p>
    <w:p>
      <w:pPr>
        <w:spacing w:after="0" w:line="228" w:lineRule="exact"/>
        <w:rPr>
          <w:sz w:val="20"/>
          <w:szCs w:val="20"/>
          <w:color w:val="auto"/>
        </w:rPr>
      </w:pPr>
    </w:p>
    <w:p>
      <w:pPr>
        <w:jc w:val="both"/>
        <w:ind w:right="260" w:firstLine="270"/>
        <w:spacing w:after="0" w:line="335" w:lineRule="auto"/>
        <w:rPr>
          <w:sz w:val="20"/>
          <w:szCs w:val="20"/>
          <w:color w:val="auto"/>
        </w:rPr>
      </w:pPr>
      <w:r>
        <w:rPr>
          <w:rFonts w:ascii="Arial" w:cs="Arial" w:eastAsia="Arial" w:hAnsi="Arial"/>
          <w:sz w:val="15"/>
          <w:szCs w:val="15"/>
          <w:color w:val="auto"/>
        </w:rPr>
        <w:t>A fair value measurement further assumes that the hypothetical transaction occurs in the principal (or if no principal market exists, the most advantageous) market for the asset or liability. Further, a fair value measurement assumes a transaction involving the highest and best use of an asset and the consideration of assumptions that would be made by market participants when pricing an asset or liability, such as transfer restrictions or non-performance risk.</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16" w:name="page17"/>
    <w:bookmarkEnd w:id="16"/>
    <w:p>
      <w:pPr>
        <w:ind w:firstLine="270"/>
        <w:spacing w:after="0" w:line="288" w:lineRule="auto"/>
        <w:rPr>
          <w:sz w:val="20"/>
          <w:szCs w:val="20"/>
          <w:color w:val="auto"/>
        </w:rPr>
      </w:pPr>
      <w:r>
        <w:rPr>
          <w:rFonts w:ascii="Arial" w:cs="Arial" w:eastAsia="Arial" w:hAnsi="Arial"/>
          <w:sz w:val="16"/>
          <w:szCs w:val="16"/>
          <w:color w:val="auto"/>
        </w:rPr>
        <w:t>Accounting guidance provides a fair value hierarchy that prioritizes the inputs to valuation techniques used to measure fair value into three broad levels. The fair value hierarchy gives the highest priority to unadjusted, quoted market prices in active markets for identical assets or liabilities (including when the liabilities are traded as assets) while giving the lowest priority to unobservable inputs, which are inputs that reflect the Company's assumptions about the factors that market participants would use in valuing assets or liabilities, based upon the best information available under existing circumstances. In cases when the inputs used to measure fair value fall in different levels of the fair value hierarchy, the level within which the fair value measurement in its entirety falls is determined based on the lowest level input that is significant to the fair value measurement in its entirety. When, due to changes in the inputs to valuation techniques used to measure its fair value, an asset or liability is transferred between levels of the fair value hierarchy, the Company recognizes all transfer to or from any level to be as of the beginning of the reporting period. Assessing the significance of a particular input to the fair value measurement in its entirety requires judgment, including the consideration of factors specific to the asset or liability. The hierarchy consists of the following three levels:</w:t>
      </w:r>
    </w:p>
    <w:p>
      <w:pPr>
        <w:spacing w:after="0" w:line="228" w:lineRule="exact"/>
        <w:rPr>
          <w:sz w:val="20"/>
          <w:szCs w:val="20"/>
          <w:color w:val="auto"/>
        </w:rPr>
      </w:pPr>
    </w:p>
    <w:p>
      <w:pPr>
        <w:ind w:left="280"/>
        <w:spacing w:after="0"/>
        <w:rPr>
          <w:sz w:val="20"/>
          <w:szCs w:val="20"/>
          <w:color w:val="auto"/>
        </w:rPr>
      </w:pPr>
      <w:r>
        <w:rPr>
          <w:rFonts w:ascii="Arial" w:cs="Arial" w:eastAsia="Arial" w:hAnsi="Arial"/>
          <w:sz w:val="18"/>
          <w:szCs w:val="18"/>
          <w:u w:val="single" w:color="auto"/>
          <w:color w:val="auto"/>
        </w:rPr>
        <w:t>Level 1</w:t>
      </w:r>
      <w:r>
        <w:rPr>
          <w:rFonts w:ascii="Arial" w:cs="Arial" w:eastAsia="Arial" w:hAnsi="Arial"/>
          <w:sz w:val="18"/>
          <w:szCs w:val="18"/>
          <w:color w:val="auto"/>
        </w:rPr>
        <w:t xml:space="preserve"> - Inputs are prices for identical securities in active markets that are accessible at the measurement date.</w:t>
      </w:r>
    </w:p>
    <w:p>
      <w:pPr>
        <w:spacing w:after="0" w:line="279" w:lineRule="exact"/>
        <w:rPr>
          <w:sz w:val="20"/>
          <w:szCs w:val="20"/>
          <w:color w:val="auto"/>
        </w:rPr>
      </w:pPr>
    </w:p>
    <w:p>
      <w:pPr>
        <w:ind w:right="60" w:firstLine="270"/>
        <w:spacing w:after="0" w:line="332" w:lineRule="auto"/>
        <w:rPr>
          <w:sz w:val="20"/>
          <w:szCs w:val="20"/>
          <w:color w:val="auto"/>
        </w:rPr>
      </w:pPr>
      <w:r>
        <w:rPr>
          <w:rFonts w:ascii="Arial" w:cs="Arial" w:eastAsia="Arial" w:hAnsi="Arial"/>
          <w:sz w:val="16"/>
          <w:szCs w:val="16"/>
          <w:u w:val="single" w:color="auto"/>
          <w:color w:val="auto"/>
        </w:rPr>
        <w:t>Level 2</w:t>
      </w:r>
      <w:r>
        <w:rPr>
          <w:rFonts w:ascii="Arial" w:cs="Arial" w:eastAsia="Arial" w:hAnsi="Arial"/>
          <w:sz w:val="16"/>
          <w:szCs w:val="16"/>
          <w:color w:val="auto"/>
        </w:rPr>
        <w:t xml:space="preserve"> - Inputs other than quoted prices included within Level 1 are observable for the asset or liability, either directly or indirectly. At January 30, 2011 and October 31, 2010, the Company's Level 2 liability consists of its common stock warrants which are included in other liabilities.</w:t>
      </w:r>
    </w:p>
    <w:p>
      <w:pPr>
        <w:spacing w:after="0" w:line="193" w:lineRule="exact"/>
        <w:rPr>
          <w:sz w:val="20"/>
          <w:szCs w:val="20"/>
          <w:color w:val="auto"/>
        </w:rPr>
      </w:pPr>
    </w:p>
    <w:p>
      <w:pPr>
        <w:ind w:left="280"/>
        <w:spacing w:after="0"/>
        <w:rPr>
          <w:sz w:val="20"/>
          <w:szCs w:val="20"/>
          <w:color w:val="auto"/>
        </w:rPr>
      </w:pPr>
      <w:r>
        <w:rPr>
          <w:rFonts w:ascii="Arial" w:cs="Arial" w:eastAsia="Arial" w:hAnsi="Arial"/>
          <w:sz w:val="18"/>
          <w:szCs w:val="18"/>
          <w:u w:val="single" w:color="auto"/>
          <w:color w:val="auto"/>
        </w:rPr>
        <w:t>Level 3</w:t>
      </w:r>
      <w:r>
        <w:rPr>
          <w:rFonts w:ascii="Arial" w:cs="Arial" w:eastAsia="Arial" w:hAnsi="Arial"/>
          <w:sz w:val="18"/>
          <w:szCs w:val="18"/>
          <w:color w:val="auto"/>
        </w:rPr>
        <w:t xml:space="preserve"> - Inputs are unobservable inputs for the asset or liability.</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644" w:right="259" w:bottom="1440" w:gutter="0" w:footer="0" w:header="0"/>
        </w:sectPr>
      </w:pPr>
    </w:p>
    <w:bookmarkStart w:id="17" w:name="page18"/>
    <w:bookmarkEnd w:id="17"/>
    <w:p>
      <w:pPr>
        <w:spacing w:after="0"/>
        <w:rPr>
          <w:sz w:val="20"/>
          <w:szCs w:val="20"/>
          <w:color w:val="auto"/>
        </w:rPr>
      </w:pPr>
      <w:r>
        <w:rPr>
          <w:rFonts w:ascii="Arial" w:cs="Arial" w:eastAsia="Arial" w:hAnsi="Arial"/>
          <w:sz w:val="18"/>
          <w:szCs w:val="18"/>
          <w:i w:val="1"/>
          <w:iCs w:val="1"/>
          <w:color w:val="auto"/>
        </w:rPr>
        <w:t>Assets and Liabilities Measured at Fair Value on a Recurring Basis</w:t>
      </w:r>
    </w:p>
    <w:p>
      <w:pPr>
        <w:spacing w:after="0" w:line="27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tables below present assets and liabilities as of January 30, 2011 and October 31, 2010 that are measured at fair value on a recurring basis.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84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3"/>
          </w:tcPr>
          <w:p>
            <w:pPr>
              <w:ind w:left="380"/>
              <w:spacing w:after="0"/>
              <w:rPr>
                <w:sz w:val="20"/>
                <w:szCs w:val="20"/>
                <w:color w:val="auto"/>
              </w:rPr>
            </w:pPr>
            <w:r>
              <w:rPr>
                <w:rFonts w:ascii="Arial" w:cs="Arial" w:eastAsia="Arial" w:hAnsi="Arial"/>
                <w:sz w:val="18"/>
                <w:szCs w:val="18"/>
                <w:b w:val="1"/>
                <w:bCs w:val="1"/>
                <w:color w:val="auto"/>
              </w:rPr>
              <w:t>January 30, 2011</w:t>
            </w:r>
          </w:p>
        </w:tc>
        <w:tc>
          <w:tcPr>
            <w:tcW w:w="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r>
      <w:tr>
        <w:trPr>
          <w:trHeight w:val="228"/>
        </w:trPr>
        <w:tc>
          <w:tcPr>
            <w:tcW w:w="6840" w:type="dxa"/>
            <w:vAlign w:val="bottom"/>
          </w:tcPr>
          <w:p>
            <w:pPr>
              <w:spacing w:after="0"/>
              <w:rPr>
                <w:sz w:val="19"/>
                <w:szCs w:val="19"/>
                <w:color w:val="auto"/>
              </w:rPr>
            </w:pPr>
          </w:p>
        </w:tc>
        <w:tc>
          <w:tcPr>
            <w:tcW w:w="800" w:type="dxa"/>
            <w:vAlign w:val="bottom"/>
          </w:tcPr>
          <w:p>
            <w:pPr>
              <w:jc w:val="center"/>
              <w:ind w:left="40"/>
              <w:spacing w:after="0"/>
              <w:rPr>
                <w:sz w:val="20"/>
                <w:szCs w:val="20"/>
                <w:color w:val="auto"/>
              </w:rPr>
            </w:pPr>
            <w:r>
              <w:rPr>
                <w:rFonts w:ascii="Arial" w:cs="Arial" w:eastAsia="Arial" w:hAnsi="Arial"/>
                <w:sz w:val="18"/>
                <w:szCs w:val="18"/>
                <w:b w:val="1"/>
                <w:bCs w:val="1"/>
                <w:color w:val="auto"/>
                <w:w w:val="88"/>
              </w:rPr>
              <w:t>Quoted</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42"/>
        </w:trPr>
        <w:tc>
          <w:tcPr>
            <w:tcW w:w="6840" w:type="dxa"/>
            <w:vAlign w:val="bottom"/>
          </w:tcPr>
          <w:p>
            <w:pPr>
              <w:spacing w:after="0"/>
              <w:rPr>
                <w:sz w:val="21"/>
                <w:szCs w:val="21"/>
                <w:color w:val="auto"/>
              </w:rPr>
            </w:pPr>
          </w:p>
        </w:tc>
        <w:tc>
          <w:tcPr>
            <w:tcW w:w="800" w:type="dxa"/>
            <w:vAlign w:val="bottom"/>
          </w:tcPr>
          <w:p>
            <w:pPr>
              <w:jc w:val="center"/>
              <w:ind w:left="60"/>
              <w:spacing w:after="0"/>
              <w:rPr>
                <w:sz w:val="20"/>
                <w:szCs w:val="20"/>
                <w:color w:val="auto"/>
              </w:rPr>
            </w:pPr>
            <w:r>
              <w:rPr>
                <w:rFonts w:ascii="Arial" w:cs="Arial" w:eastAsia="Arial" w:hAnsi="Arial"/>
                <w:sz w:val="18"/>
                <w:szCs w:val="18"/>
                <w:b w:val="1"/>
                <w:bCs w:val="1"/>
                <w:color w:val="auto"/>
                <w:w w:val="85"/>
              </w:rPr>
              <w:t>Prices</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243"/>
        </w:trPr>
        <w:tc>
          <w:tcPr>
            <w:tcW w:w="6840" w:type="dxa"/>
            <w:vAlign w:val="bottom"/>
          </w:tcPr>
          <w:p>
            <w:pPr>
              <w:spacing w:after="0"/>
              <w:rPr>
                <w:sz w:val="21"/>
                <w:szCs w:val="21"/>
                <w:color w:val="auto"/>
              </w:rPr>
            </w:pPr>
          </w:p>
        </w:tc>
        <w:tc>
          <w:tcPr>
            <w:tcW w:w="800" w:type="dxa"/>
            <w:vAlign w:val="bottom"/>
          </w:tcPr>
          <w:p>
            <w:pPr>
              <w:jc w:val="center"/>
              <w:ind w:left="40"/>
              <w:spacing w:after="0"/>
              <w:rPr>
                <w:sz w:val="20"/>
                <w:szCs w:val="20"/>
                <w:color w:val="auto"/>
              </w:rPr>
            </w:pPr>
            <w:r>
              <w:rPr>
                <w:rFonts w:ascii="Arial" w:cs="Arial" w:eastAsia="Arial" w:hAnsi="Arial"/>
                <w:sz w:val="18"/>
                <w:szCs w:val="18"/>
                <w:b w:val="1"/>
                <w:bCs w:val="1"/>
                <w:color w:val="auto"/>
                <w:w w:val="90"/>
              </w:rPr>
              <w:t>in Active</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89"/>
              </w:rPr>
              <w:t>Significant</w:t>
            </w: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243"/>
        </w:trPr>
        <w:tc>
          <w:tcPr>
            <w:tcW w:w="6840" w:type="dxa"/>
            <w:vAlign w:val="bottom"/>
          </w:tcPr>
          <w:p>
            <w:pPr>
              <w:spacing w:after="0"/>
              <w:rPr>
                <w:sz w:val="21"/>
                <w:szCs w:val="21"/>
                <w:color w:val="auto"/>
              </w:rPr>
            </w:pPr>
          </w:p>
        </w:tc>
        <w:tc>
          <w:tcPr>
            <w:tcW w:w="800" w:type="dxa"/>
            <w:vAlign w:val="bottom"/>
          </w:tcPr>
          <w:p>
            <w:pPr>
              <w:jc w:val="center"/>
              <w:ind w:left="40"/>
              <w:spacing w:after="0"/>
              <w:rPr>
                <w:sz w:val="20"/>
                <w:szCs w:val="20"/>
                <w:color w:val="auto"/>
              </w:rPr>
            </w:pPr>
            <w:r>
              <w:rPr>
                <w:rFonts w:ascii="Arial" w:cs="Arial" w:eastAsia="Arial" w:hAnsi="Arial"/>
                <w:sz w:val="18"/>
                <w:szCs w:val="18"/>
                <w:b w:val="1"/>
                <w:bCs w:val="1"/>
                <w:color w:val="auto"/>
                <w:w w:val="94"/>
              </w:rPr>
              <w:t>Markets</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5"/>
              </w:rPr>
              <w:t>Other</w:t>
            </w:r>
          </w:p>
        </w:tc>
        <w:tc>
          <w:tcPr>
            <w:tcW w:w="280" w:type="dxa"/>
            <w:vAlign w:val="bottom"/>
          </w:tcPr>
          <w:p>
            <w:pPr>
              <w:spacing w:after="0"/>
              <w:rPr>
                <w:sz w:val="21"/>
                <w:szCs w:val="21"/>
                <w:color w:val="auto"/>
              </w:rPr>
            </w:pP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89"/>
              </w:rPr>
              <w:t>Significant</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243"/>
        </w:trPr>
        <w:tc>
          <w:tcPr>
            <w:tcW w:w="6840" w:type="dxa"/>
            <w:vAlign w:val="bottom"/>
          </w:tcPr>
          <w:p>
            <w:pPr>
              <w:spacing w:after="0"/>
              <w:rPr>
                <w:sz w:val="21"/>
                <w:szCs w:val="21"/>
                <w:color w:val="auto"/>
              </w:rPr>
            </w:pPr>
          </w:p>
        </w:tc>
        <w:tc>
          <w:tcPr>
            <w:tcW w:w="104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2"/>
              </w:rPr>
              <w:t>for Identical</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Observable</w:t>
            </w:r>
          </w:p>
        </w:tc>
        <w:tc>
          <w:tcPr>
            <w:tcW w:w="1580" w:type="dxa"/>
            <w:vAlign w:val="bottom"/>
            <w:gridSpan w:val="4"/>
          </w:tcPr>
          <w:p>
            <w:pPr>
              <w:ind w:left="280"/>
              <w:spacing w:after="0"/>
              <w:rPr>
                <w:sz w:val="20"/>
                <w:szCs w:val="20"/>
                <w:color w:val="auto"/>
              </w:rPr>
            </w:pPr>
            <w:r>
              <w:rPr>
                <w:rFonts w:ascii="Arial" w:cs="Arial" w:eastAsia="Arial" w:hAnsi="Arial"/>
                <w:sz w:val="18"/>
                <w:szCs w:val="18"/>
                <w:b w:val="1"/>
                <w:bCs w:val="1"/>
                <w:color w:val="auto"/>
              </w:rPr>
              <w:t>Unobservable</w:t>
            </w: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243"/>
        </w:trPr>
        <w:tc>
          <w:tcPr>
            <w:tcW w:w="6840" w:type="dxa"/>
            <w:vAlign w:val="bottom"/>
          </w:tcPr>
          <w:p>
            <w:pPr>
              <w:spacing w:after="0"/>
              <w:rPr>
                <w:sz w:val="21"/>
                <w:szCs w:val="21"/>
                <w:color w:val="auto"/>
              </w:rPr>
            </w:pPr>
          </w:p>
        </w:tc>
        <w:tc>
          <w:tcPr>
            <w:tcW w:w="104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89"/>
              </w:rPr>
              <w:t>Instruments</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2"/>
              </w:rPr>
              <w:t>Inputs</w:t>
            </w:r>
          </w:p>
        </w:tc>
        <w:tc>
          <w:tcPr>
            <w:tcW w:w="280" w:type="dxa"/>
            <w:vAlign w:val="bottom"/>
          </w:tcPr>
          <w:p>
            <w:pPr>
              <w:spacing w:after="0"/>
              <w:rPr>
                <w:sz w:val="21"/>
                <w:szCs w:val="21"/>
                <w:color w:val="auto"/>
              </w:rPr>
            </w:pP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92"/>
              </w:rPr>
              <w:t>Inputs</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252"/>
        </w:trPr>
        <w:tc>
          <w:tcPr>
            <w:tcW w:w="6840" w:type="dxa"/>
            <w:vAlign w:val="bottom"/>
            <w:tcBorders>
              <w:bottom w:val="single" w:sz="8" w:color="C0C0C0"/>
            </w:tcBorders>
          </w:tcPr>
          <w:p>
            <w:pPr>
              <w:spacing w:after="0"/>
              <w:rPr>
                <w:sz w:val="21"/>
                <w:szCs w:val="21"/>
                <w:color w:val="auto"/>
              </w:rPr>
            </w:pPr>
          </w:p>
        </w:tc>
        <w:tc>
          <w:tcPr>
            <w:tcW w:w="800" w:type="dxa"/>
            <w:vAlign w:val="bottom"/>
            <w:tcBorders>
              <w:bottom w:val="single" w:sz="8" w:color="auto"/>
            </w:tcBorders>
          </w:tcPr>
          <w:p>
            <w:pPr>
              <w:jc w:val="center"/>
              <w:ind w:left="60"/>
              <w:spacing w:after="0"/>
              <w:rPr>
                <w:sz w:val="20"/>
                <w:szCs w:val="20"/>
                <w:color w:val="auto"/>
              </w:rPr>
            </w:pPr>
            <w:r>
              <w:rPr>
                <w:rFonts w:ascii="Arial" w:cs="Arial" w:eastAsia="Arial" w:hAnsi="Arial"/>
                <w:sz w:val="18"/>
                <w:szCs w:val="18"/>
                <w:b w:val="1"/>
                <w:bCs w:val="1"/>
                <w:color w:val="auto"/>
                <w:w w:val="90"/>
              </w:rPr>
              <w:t>(Level 1)</w:t>
            </w:r>
          </w:p>
        </w:tc>
        <w:tc>
          <w:tcPr>
            <w:tcW w:w="8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20" w:type="dxa"/>
            <w:vAlign w:val="bottom"/>
            <w:tcBorders>
              <w:bottom w:val="single" w:sz="8" w:color="C0C0C0"/>
            </w:tcBorders>
          </w:tcPr>
          <w:p>
            <w:pPr>
              <w:spacing w:after="0"/>
              <w:rPr>
                <w:sz w:val="21"/>
                <w:szCs w:val="21"/>
                <w:color w:val="auto"/>
              </w:rPr>
            </w:pPr>
          </w:p>
        </w:tc>
        <w:tc>
          <w:tcPr>
            <w:tcW w:w="100" w:type="dxa"/>
            <w:vAlign w:val="bottom"/>
            <w:tcBorders>
              <w:bottom w:val="single" w:sz="8" w:color="C0C0C0"/>
            </w:tcBorders>
          </w:tcPr>
          <w:p>
            <w:pPr>
              <w:spacing w:after="0"/>
              <w:rPr>
                <w:sz w:val="21"/>
                <w:szCs w:val="21"/>
                <w:color w:val="auto"/>
              </w:rPr>
            </w:pPr>
          </w:p>
        </w:tc>
        <w:tc>
          <w:tcPr>
            <w:tcW w:w="60" w:type="dxa"/>
            <w:vAlign w:val="bottom"/>
            <w:tcBorders>
              <w:bottom w:val="single" w:sz="8" w:color="C0C0C0"/>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(Level 2)</w:t>
            </w:r>
          </w:p>
        </w:tc>
        <w:tc>
          <w:tcPr>
            <w:tcW w:w="280" w:type="dxa"/>
            <w:vAlign w:val="bottom"/>
            <w:tcBorders>
              <w:bottom w:val="single" w:sz="8" w:color="C0C0C0"/>
            </w:tcBorders>
          </w:tcPr>
          <w:p>
            <w:pPr>
              <w:spacing w:after="0"/>
              <w:rPr>
                <w:sz w:val="21"/>
                <w:szCs w:val="21"/>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(Level 3)</w:t>
            </w:r>
          </w:p>
        </w:tc>
        <w:tc>
          <w:tcPr>
            <w:tcW w:w="80" w:type="dxa"/>
            <w:vAlign w:val="bottom"/>
            <w:tcBorders>
              <w:bottom w:val="single" w:sz="8" w:color="auto"/>
            </w:tcBorders>
          </w:tcPr>
          <w:p>
            <w:pPr>
              <w:spacing w:after="0"/>
              <w:rPr>
                <w:sz w:val="21"/>
                <w:szCs w:val="21"/>
                <w:color w:val="auto"/>
              </w:rPr>
            </w:pPr>
          </w:p>
        </w:tc>
        <w:tc>
          <w:tcPr>
            <w:tcW w:w="280" w:type="dxa"/>
            <w:vAlign w:val="bottom"/>
            <w:tcBorders>
              <w:bottom w:val="single" w:sz="8" w:color="C0C0C0"/>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97"/>
              </w:rPr>
              <w:t>Total</w:t>
            </w:r>
          </w:p>
        </w:tc>
      </w:tr>
      <w:tr>
        <w:trPr>
          <w:trHeight w:val="235"/>
        </w:trPr>
        <w:tc>
          <w:tcPr>
            <w:tcW w:w="6840" w:type="dxa"/>
            <w:vAlign w:val="bottom"/>
            <w:tcBorders>
              <w:right w:val="single" w:sz="8" w:color="C0C0C0"/>
            </w:tcBorders>
            <w:shd w:val="clear" w:color="auto" w:fill="C0C0C0"/>
          </w:tcPr>
          <w:p>
            <w:pPr>
              <w:spacing w:after="0"/>
              <w:rPr>
                <w:sz w:val="20"/>
                <w:szCs w:val="20"/>
                <w:color w:val="auto"/>
              </w:rPr>
            </w:pPr>
            <w:r>
              <w:rPr>
                <w:rFonts w:ascii="Arial" w:cs="Arial" w:eastAsia="Arial" w:hAnsi="Arial"/>
                <w:sz w:val="18"/>
                <w:szCs w:val="18"/>
                <w:color w:val="auto"/>
              </w:rPr>
              <w:t>Common stock warrants</w:t>
            </w:r>
          </w:p>
        </w:tc>
        <w:tc>
          <w:tcPr>
            <w:tcW w:w="800" w:type="dxa"/>
            <w:vAlign w:val="bottom"/>
            <w:shd w:val="clear" w:color="auto" w:fill="C0C0C0"/>
          </w:tcPr>
          <w:p>
            <w:pPr>
              <w:jc w:val="right"/>
              <w:ind w:right="640"/>
              <w:spacing w:after="0"/>
              <w:rPr>
                <w:sz w:val="20"/>
                <w:szCs w:val="20"/>
                <w:color w:val="auto"/>
              </w:rPr>
            </w:pPr>
            <w:r>
              <w:rPr>
                <w:rFonts w:ascii="Arial" w:cs="Arial" w:eastAsia="Arial" w:hAnsi="Arial"/>
                <w:sz w:val="15"/>
                <w:szCs w:val="15"/>
                <w:color w:val="auto"/>
                <w:w w:val="71"/>
              </w:rPr>
              <w:t>$</w:t>
            </w:r>
          </w:p>
        </w:tc>
        <w:tc>
          <w:tcPr>
            <w:tcW w:w="12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0C0C0"/>
          </w:tcPr>
          <w:p>
            <w:pPr>
              <w:spacing w:after="0"/>
              <w:rPr>
                <w:sz w:val="20"/>
                <w:szCs w:val="20"/>
                <w:color w:val="auto"/>
              </w:rPr>
            </w:pPr>
          </w:p>
        </w:tc>
        <w:tc>
          <w:tcPr>
            <w:tcW w:w="240" w:type="dxa"/>
            <w:vAlign w:val="bottom"/>
            <w:gridSpan w:val="3"/>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0C0C0"/>
          </w:tcPr>
          <w:p>
            <w:pPr>
              <w:ind w:left="360"/>
              <w:spacing w:after="0"/>
              <w:rPr>
                <w:sz w:val="20"/>
                <w:szCs w:val="20"/>
                <w:color w:val="auto"/>
              </w:rPr>
            </w:pPr>
            <w:r>
              <w:rPr>
                <w:rFonts w:ascii="Arial" w:cs="Arial" w:eastAsia="Arial" w:hAnsi="Arial"/>
                <w:sz w:val="18"/>
                <w:szCs w:val="18"/>
                <w:color w:val="auto"/>
                <w:w w:val="91"/>
              </w:rPr>
              <w:t>(1,956)</w:t>
            </w:r>
          </w:p>
        </w:tc>
        <w:tc>
          <w:tcPr>
            <w:tcW w:w="1220" w:type="dxa"/>
            <w:vAlign w:val="bottom"/>
            <w:gridSpan w:val="2"/>
            <w:shd w:val="clear" w:color="auto" w:fill="C0C0C0"/>
          </w:tcPr>
          <w:p>
            <w:pPr>
              <w:ind w:lef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0C0C0"/>
          </w:tcPr>
          <w:p>
            <w:pPr>
              <w:jc w:val="right"/>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0C0C0"/>
          </w:tcPr>
          <w:p>
            <w:pPr>
              <w:spacing w:after="0"/>
              <w:rPr>
                <w:sz w:val="20"/>
                <w:szCs w:val="20"/>
                <w:color w:val="auto"/>
              </w:rPr>
            </w:pPr>
          </w:p>
        </w:tc>
        <w:tc>
          <w:tcPr>
            <w:tcW w:w="160" w:type="dxa"/>
            <w:vAlign w:val="bottom"/>
            <w:shd w:val="clear" w:color="auto" w:fill="C0C0C0"/>
          </w:tcPr>
          <w:p>
            <w:pPr>
              <w:jc w:val="right"/>
              <w:ind w:right="3"/>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(1,956)</w:t>
            </w:r>
          </w:p>
        </w:tc>
      </w:tr>
      <w:tr>
        <w:trPr>
          <w:trHeight w:val="21"/>
        </w:trPr>
        <w:tc>
          <w:tcPr>
            <w:tcW w:w="68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r>
      <w:tr>
        <w:trPr>
          <w:trHeight w:val="242"/>
        </w:trPr>
        <w:tc>
          <w:tcPr>
            <w:tcW w:w="6840" w:type="dxa"/>
            <w:vAlign w:val="bottom"/>
          </w:tcPr>
          <w:p>
            <w:pPr>
              <w:spacing w:after="0"/>
              <w:rPr>
                <w:sz w:val="20"/>
                <w:szCs w:val="20"/>
                <w:color w:val="auto"/>
              </w:rPr>
            </w:pPr>
            <w:r>
              <w:rPr>
                <w:rFonts w:ascii="Arial" w:cs="Arial" w:eastAsia="Arial" w:hAnsi="Arial"/>
                <w:sz w:val="18"/>
                <w:szCs w:val="18"/>
                <w:color w:val="auto"/>
              </w:rPr>
              <w:t>Total liabilities</w:t>
            </w:r>
          </w:p>
        </w:tc>
        <w:tc>
          <w:tcPr>
            <w:tcW w:w="800" w:type="dxa"/>
            <w:vAlign w:val="bottom"/>
          </w:tcPr>
          <w:p>
            <w:pPr>
              <w:jc w:val="right"/>
              <w:ind w:right="640"/>
              <w:spacing w:after="0"/>
              <w:rPr>
                <w:sz w:val="20"/>
                <w:szCs w:val="20"/>
                <w:color w:val="auto"/>
              </w:rPr>
            </w:pPr>
            <w:r>
              <w:rPr>
                <w:rFonts w:ascii="Arial" w:cs="Arial" w:eastAsia="Arial" w:hAnsi="Arial"/>
                <w:sz w:val="15"/>
                <w:szCs w:val="15"/>
                <w:color w:val="auto"/>
                <w:w w:val="71"/>
              </w:rPr>
              <w:t>$</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ind w:left="360"/>
              <w:spacing w:after="0"/>
              <w:rPr>
                <w:sz w:val="20"/>
                <w:szCs w:val="20"/>
                <w:color w:val="auto"/>
              </w:rPr>
            </w:pPr>
            <w:r>
              <w:rPr>
                <w:rFonts w:ascii="Arial" w:cs="Arial" w:eastAsia="Arial" w:hAnsi="Arial"/>
                <w:sz w:val="18"/>
                <w:szCs w:val="18"/>
                <w:color w:val="auto"/>
                <w:w w:val="91"/>
              </w:rPr>
              <w:t>(1,956)</w:t>
            </w:r>
          </w:p>
        </w:tc>
        <w:tc>
          <w:tcPr>
            <w:tcW w:w="12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21"/>
                <w:szCs w:val="21"/>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(1,956)</w:t>
            </w:r>
          </w:p>
        </w:tc>
      </w:tr>
      <w:tr>
        <w:trPr>
          <w:trHeight w:val="28"/>
        </w:trPr>
        <w:tc>
          <w:tcPr>
            <w:tcW w:w="68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r>
      <w:tr>
        <w:trPr>
          <w:trHeight w:val="480"/>
        </w:trPr>
        <w:tc>
          <w:tcPr>
            <w:tcW w:w="684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3"/>
          </w:tcPr>
          <w:p>
            <w:pPr>
              <w:ind w:left="360"/>
              <w:spacing w:after="0"/>
              <w:rPr>
                <w:sz w:val="20"/>
                <w:szCs w:val="20"/>
                <w:color w:val="auto"/>
              </w:rPr>
            </w:pPr>
            <w:r>
              <w:rPr>
                <w:rFonts w:ascii="Arial" w:cs="Arial" w:eastAsia="Arial" w:hAnsi="Arial"/>
                <w:sz w:val="18"/>
                <w:szCs w:val="18"/>
                <w:b w:val="1"/>
                <w:bCs w:val="1"/>
                <w:color w:val="auto"/>
              </w:rPr>
              <w:t>October 31, 2010</w:t>
            </w: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r>
      <w:tr>
        <w:trPr>
          <w:trHeight w:val="228"/>
        </w:trPr>
        <w:tc>
          <w:tcPr>
            <w:tcW w:w="684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88"/>
              </w:rPr>
              <w:t>Quoted</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42"/>
        </w:trPr>
        <w:tc>
          <w:tcPr>
            <w:tcW w:w="684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81"/>
              </w:rPr>
              <w:t>Prices</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243"/>
        </w:trPr>
        <w:tc>
          <w:tcPr>
            <w:tcW w:w="684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90"/>
              </w:rPr>
              <w:t>in Active</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Significant</w:t>
            </w: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243"/>
        </w:trPr>
        <w:tc>
          <w:tcPr>
            <w:tcW w:w="684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94"/>
              </w:rPr>
              <w:t>Markets</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jc w:val="center"/>
              <w:ind w:right="32"/>
              <w:spacing w:after="0"/>
              <w:rPr>
                <w:sz w:val="20"/>
                <w:szCs w:val="20"/>
                <w:color w:val="auto"/>
              </w:rPr>
            </w:pPr>
            <w:r>
              <w:rPr>
                <w:rFonts w:ascii="Arial" w:cs="Arial" w:eastAsia="Arial" w:hAnsi="Arial"/>
                <w:sz w:val="18"/>
                <w:szCs w:val="18"/>
                <w:b w:val="1"/>
                <w:bCs w:val="1"/>
                <w:color w:val="auto"/>
                <w:w w:val="95"/>
              </w:rPr>
              <w:t>Other</w:t>
            </w:r>
          </w:p>
        </w:tc>
        <w:tc>
          <w:tcPr>
            <w:tcW w:w="280" w:type="dxa"/>
            <w:vAlign w:val="bottom"/>
          </w:tcPr>
          <w:p>
            <w:pPr>
              <w:spacing w:after="0"/>
              <w:rPr>
                <w:sz w:val="21"/>
                <w:szCs w:val="21"/>
                <w:color w:val="auto"/>
              </w:rPr>
            </w:pP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89"/>
              </w:rPr>
              <w:t>Significant</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243"/>
        </w:trPr>
        <w:tc>
          <w:tcPr>
            <w:tcW w:w="6840" w:type="dxa"/>
            <w:vAlign w:val="bottom"/>
          </w:tcPr>
          <w:p>
            <w:pPr>
              <w:spacing w:after="0"/>
              <w:rPr>
                <w:sz w:val="21"/>
                <w:szCs w:val="21"/>
                <w:color w:val="auto"/>
              </w:rPr>
            </w:pPr>
          </w:p>
        </w:tc>
        <w:tc>
          <w:tcPr>
            <w:tcW w:w="104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88"/>
              </w:rPr>
              <w:t>for Identical</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Observable</w:t>
            </w:r>
          </w:p>
        </w:tc>
        <w:tc>
          <w:tcPr>
            <w:tcW w:w="1580" w:type="dxa"/>
            <w:vAlign w:val="bottom"/>
            <w:gridSpan w:val="4"/>
          </w:tcPr>
          <w:p>
            <w:pPr>
              <w:ind w:left="280"/>
              <w:spacing w:after="0"/>
              <w:rPr>
                <w:sz w:val="20"/>
                <w:szCs w:val="20"/>
                <w:color w:val="auto"/>
              </w:rPr>
            </w:pPr>
            <w:r>
              <w:rPr>
                <w:rFonts w:ascii="Arial" w:cs="Arial" w:eastAsia="Arial" w:hAnsi="Arial"/>
                <w:sz w:val="18"/>
                <w:szCs w:val="18"/>
                <w:b w:val="1"/>
                <w:bCs w:val="1"/>
                <w:color w:val="auto"/>
              </w:rPr>
              <w:t>Unobservable</w:t>
            </w: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243"/>
        </w:trPr>
        <w:tc>
          <w:tcPr>
            <w:tcW w:w="6840" w:type="dxa"/>
            <w:vAlign w:val="bottom"/>
          </w:tcPr>
          <w:p>
            <w:pPr>
              <w:spacing w:after="0"/>
              <w:rPr>
                <w:sz w:val="21"/>
                <w:szCs w:val="21"/>
                <w:color w:val="auto"/>
              </w:rPr>
            </w:pPr>
          </w:p>
        </w:tc>
        <w:tc>
          <w:tcPr>
            <w:tcW w:w="1040" w:type="dxa"/>
            <w:vAlign w:val="bottom"/>
            <w:gridSpan w:val="4"/>
          </w:tcPr>
          <w:p>
            <w:pPr>
              <w:jc w:val="center"/>
              <w:ind w:right="160"/>
              <w:spacing w:after="0"/>
              <w:rPr>
                <w:sz w:val="20"/>
                <w:szCs w:val="20"/>
                <w:color w:val="auto"/>
              </w:rPr>
            </w:pPr>
            <w:r>
              <w:rPr>
                <w:rFonts w:ascii="Arial" w:cs="Arial" w:eastAsia="Arial" w:hAnsi="Arial"/>
                <w:sz w:val="18"/>
                <w:szCs w:val="18"/>
                <w:b w:val="1"/>
                <w:bCs w:val="1"/>
                <w:color w:val="auto"/>
                <w:w w:val="85"/>
              </w:rPr>
              <w:t>Instruments</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jc w:val="center"/>
              <w:ind w:right="32"/>
              <w:spacing w:after="0"/>
              <w:rPr>
                <w:sz w:val="20"/>
                <w:szCs w:val="20"/>
                <w:color w:val="auto"/>
              </w:rPr>
            </w:pPr>
            <w:r>
              <w:rPr>
                <w:rFonts w:ascii="Arial" w:cs="Arial" w:eastAsia="Arial" w:hAnsi="Arial"/>
                <w:sz w:val="18"/>
                <w:szCs w:val="18"/>
                <w:b w:val="1"/>
                <w:bCs w:val="1"/>
                <w:color w:val="auto"/>
                <w:w w:val="92"/>
              </w:rPr>
              <w:t>Inputs</w:t>
            </w:r>
          </w:p>
        </w:tc>
        <w:tc>
          <w:tcPr>
            <w:tcW w:w="280" w:type="dxa"/>
            <w:vAlign w:val="bottom"/>
          </w:tcPr>
          <w:p>
            <w:pPr>
              <w:spacing w:after="0"/>
              <w:rPr>
                <w:sz w:val="21"/>
                <w:szCs w:val="21"/>
                <w:color w:val="auto"/>
              </w:rPr>
            </w:pP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92"/>
              </w:rPr>
              <w:t>Inputs</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252"/>
        </w:trPr>
        <w:tc>
          <w:tcPr>
            <w:tcW w:w="6840" w:type="dxa"/>
            <w:vAlign w:val="bottom"/>
            <w:tcBorders>
              <w:bottom w:val="single" w:sz="8" w:color="C0C0C0"/>
            </w:tcBorders>
          </w:tcPr>
          <w:p>
            <w:pPr>
              <w:spacing w:after="0"/>
              <w:rPr>
                <w:sz w:val="21"/>
                <w:szCs w:val="21"/>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(Level 1)</w:t>
            </w:r>
          </w:p>
        </w:tc>
        <w:tc>
          <w:tcPr>
            <w:tcW w:w="80" w:type="dxa"/>
            <w:vAlign w:val="bottom"/>
            <w:tcBorders>
              <w:bottom w:val="single" w:sz="8" w:color="auto"/>
            </w:tcBorders>
          </w:tcPr>
          <w:p>
            <w:pPr>
              <w:spacing w:after="0"/>
              <w:rPr>
                <w:sz w:val="21"/>
                <w:szCs w:val="21"/>
                <w:color w:val="auto"/>
              </w:rPr>
            </w:pPr>
          </w:p>
        </w:tc>
        <w:tc>
          <w:tcPr>
            <w:tcW w:w="40" w:type="dxa"/>
            <w:vAlign w:val="bottom"/>
            <w:tcBorders>
              <w:bottom w:val="single" w:sz="8" w:color="C0C0C0"/>
            </w:tcBorders>
          </w:tcPr>
          <w:p>
            <w:pPr>
              <w:spacing w:after="0"/>
              <w:rPr>
                <w:sz w:val="21"/>
                <w:szCs w:val="21"/>
                <w:color w:val="auto"/>
              </w:rPr>
            </w:pPr>
          </w:p>
        </w:tc>
        <w:tc>
          <w:tcPr>
            <w:tcW w:w="120" w:type="dxa"/>
            <w:vAlign w:val="bottom"/>
            <w:tcBorders>
              <w:bottom w:val="single" w:sz="8" w:color="C0C0C0"/>
            </w:tcBorders>
          </w:tcPr>
          <w:p>
            <w:pPr>
              <w:spacing w:after="0"/>
              <w:rPr>
                <w:sz w:val="21"/>
                <w:szCs w:val="21"/>
                <w:color w:val="auto"/>
              </w:rPr>
            </w:pPr>
          </w:p>
        </w:tc>
        <w:tc>
          <w:tcPr>
            <w:tcW w:w="100" w:type="dxa"/>
            <w:vAlign w:val="bottom"/>
            <w:tcBorders>
              <w:bottom w:val="single" w:sz="8" w:color="C0C0C0"/>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b w:val="1"/>
                <w:bCs w:val="1"/>
                <w:color w:val="auto"/>
                <w:w w:val="90"/>
              </w:rPr>
              <w:t>(Level 2)</w:t>
            </w:r>
          </w:p>
        </w:tc>
        <w:tc>
          <w:tcPr>
            <w:tcW w:w="280" w:type="dxa"/>
            <w:vAlign w:val="bottom"/>
            <w:tcBorders>
              <w:bottom w:val="single" w:sz="8" w:color="C0C0C0"/>
            </w:tcBorders>
          </w:tcPr>
          <w:p>
            <w:pPr>
              <w:spacing w:after="0"/>
              <w:rPr>
                <w:sz w:val="21"/>
                <w:szCs w:val="21"/>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(Level 3)</w:t>
            </w:r>
          </w:p>
        </w:tc>
        <w:tc>
          <w:tcPr>
            <w:tcW w:w="80" w:type="dxa"/>
            <w:vAlign w:val="bottom"/>
            <w:tcBorders>
              <w:bottom w:val="single" w:sz="8" w:color="auto"/>
            </w:tcBorders>
          </w:tcPr>
          <w:p>
            <w:pPr>
              <w:spacing w:after="0"/>
              <w:rPr>
                <w:sz w:val="21"/>
                <w:szCs w:val="21"/>
                <w:color w:val="auto"/>
              </w:rPr>
            </w:pPr>
          </w:p>
        </w:tc>
        <w:tc>
          <w:tcPr>
            <w:tcW w:w="280" w:type="dxa"/>
            <w:vAlign w:val="bottom"/>
            <w:tcBorders>
              <w:bottom w:val="single" w:sz="8" w:color="C0C0C0"/>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97"/>
              </w:rPr>
              <w:t>Total</w:t>
            </w:r>
          </w:p>
        </w:tc>
      </w:tr>
      <w:tr>
        <w:trPr>
          <w:trHeight w:val="235"/>
        </w:trPr>
        <w:tc>
          <w:tcPr>
            <w:tcW w:w="6840" w:type="dxa"/>
            <w:vAlign w:val="bottom"/>
            <w:tcBorders>
              <w:right w:val="single" w:sz="8" w:color="C0C0C0"/>
            </w:tcBorders>
            <w:shd w:val="clear" w:color="auto" w:fill="C0C0C0"/>
          </w:tcPr>
          <w:p>
            <w:pPr>
              <w:spacing w:after="0"/>
              <w:rPr>
                <w:sz w:val="20"/>
                <w:szCs w:val="20"/>
                <w:color w:val="auto"/>
              </w:rPr>
            </w:pPr>
            <w:r>
              <w:rPr>
                <w:rFonts w:ascii="Arial" w:cs="Arial" w:eastAsia="Arial" w:hAnsi="Arial"/>
                <w:sz w:val="18"/>
                <w:szCs w:val="18"/>
                <w:color w:val="auto"/>
              </w:rPr>
              <w:t>Common stock warrants</w:t>
            </w:r>
          </w:p>
        </w:tc>
        <w:tc>
          <w:tcPr>
            <w:tcW w:w="800" w:type="dxa"/>
            <w:vAlign w:val="bottom"/>
            <w:shd w:val="clear" w:color="auto" w:fill="C0C0C0"/>
          </w:tcPr>
          <w:p>
            <w:pPr>
              <w:jc w:val="right"/>
              <w:ind w:right="680"/>
              <w:spacing w:after="0"/>
              <w:rPr>
                <w:sz w:val="20"/>
                <w:szCs w:val="20"/>
                <w:color w:val="auto"/>
              </w:rPr>
            </w:pPr>
            <w:r>
              <w:rPr>
                <w:rFonts w:ascii="Arial" w:cs="Arial" w:eastAsia="Arial" w:hAnsi="Arial"/>
                <w:sz w:val="5"/>
                <w:szCs w:val="5"/>
                <w:color w:val="auto"/>
                <w:w w:val="70"/>
              </w:rPr>
              <w:t>$</w:t>
            </w:r>
          </w:p>
        </w:tc>
        <w:tc>
          <w:tcPr>
            <w:tcW w:w="80" w:type="dxa"/>
            <w:vAlign w:val="bottom"/>
            <w:shd w:val="clear" w:color="auto" w:fill="C0C0C0"/>
          </w:tcPr>
          <w:p>
            <w:pPr>
              <w:jc w:val="right"/>
              <w:spacing w:after="0"/>
              <w:rPr>
                <w:sz w:val="20"/>
                <w:szCs w:val="20"/>
                <w:color w:val="auto"/>
              </w:rPr>
            </w:pPr>
            <w:r>
              <w:rPr>
                <w:rFonts w:ascii="Arial" w:cs="Arial" w:eastAsia="Arial" w:hAnsi="Arial"/>
                <w:sz w:val="18"/>
                <w:szCs w:val="18"/>
                <w:color w:val="auto"/>
                <w:w w:val="99"/>
              </w:rPr>
              <w:t>-</w:t>
            </w:r>
          </w:p>
        </w:tc>
        <w:tc>
          <w:tcPr>
            <w:tcW w:w="4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14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0C0C0"/>
          </w:tcPr>
          <w:p>
            <w:pPr>
              <w:ind w:left="360"/>
              <w:spacing w:after="0"/>
              <w:rPr>
                <w:sz w:val="20"/>
                <w:szCs w:val="20"/>
                <w:color w:val="auto"/>
              </w:rPr>
            </w:pPr>
            <w:r>
              <w:rPr>
                <w:rFonts w:ascii="Arial" w:cs="Arial" w:eastAsia="Arial" w:hAnsi="Arial"/>
                <w:sz w:val="18"/>
                <w:szCs w:val="18"/>
                <w:color w:val="auto"/>
                <w:w w:val="91"/>
              </w:rPr>
              <w:t>(1,881)</w:t>
            </w:r>
          </w:p>
        </w:tc>
        <w:tc>
          <w:tcPr>
            <w:tcW w:w="1220" w:type="dxa"/>
            <w:vAlign w:val="bottom"/>
            <w:gridSpan w:val="2"/>
            <w:shd w:val="clear" w:color="auto" w:fill="C0C0C0"/>
          </w:tcPr>
          <w:p>
            <w:pPr>
              <w:ind w:lef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0C0C0"/>
          </w:tcPr>
          <w:p>
            <w:pPr>
              <w:jc w:val="right"/>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0C0C0"/>
          </w:tcPr>
          <w:p>
            <w:pPr>
              <w:spacing w:after="0"/>
              <w:rPr>
                <w:sz w:val="20"/>
                <w:szCs w:val="20"/>
                <w:color w:val="auto"/>
              </w:rPr>
            </w:pPr>
          </w:p>
        </w:tc>
        <w:tc>
          <w:tcPr>
            <w:tcW w:w="160" w:type="dxa"/>
            <w:vAlign w:val="bottom"/>
            <w:shd w:val="clear" w:color="auto" w:fill="C0C0C0"/>
          </w:tcPr>
          <w:p>
            <w:pPr>
              <w:jc w:val="right"/>
              <w:ind w:right="3"/>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(1,881)</w:t>
            </w:r>
          </w:p>
        </w:tc>
      </w:tr>
      <w:tr>
        <w:trPr>
          <w:trHeight w:val="21"/>
        </w:trPr>
        <w:tc>
          <w:tcPr>
            <w:tcW w:w="6840" w:type="dxa"/>
            <w:vAlign w:val="bottom"/>
            <w:tcBorders>
              <w:right w:val="single" w:sz="8" w:color="auto"/>
            </w:tcBorders>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r>
      <w:tr>
        <w:trPr>
          <w:trHeight w:val="242"/>
        </w:trPr>
        <w:tc>
          <w:tcPr>
            <w:tcW w:w="6840" w:type="dxa"/>
            <w:vAlign w:val="bottom"/>
          </w:tcPr>
          <w:p>
            <w:pPr>
              <w:spacing w:after="0"/>
              <w:rPr>
                <w:sz w:val="20"/>
                <w:szCs w:val="20"/>
                <w:color w:val="auto"/>
              </w:rPr>
            </w:pPr>
            <w:r>
              <w:rPr>
                <w:rFonts w:ascii="Arial" w:cs="Arial" w:eastAsia="Arial" w:hAnsi="Arial"/>
                <w:sz w:val="18"/>
                <w:szCs w:val="18"/>
                <w:color w:val="auto"/>
              </w:rPr>
              <w:t>Total liabilities</w:t>
            </w:r>
          </w:p>
        </w:tc>
        <w:tc>
          <w:tcPr>
            <w:tcW w:w="800" w:type="dxa"/>
            <w:vAlign w:val="bottom"/>
          </w:tcPr>
          <w:p>
            <w:pPr>
              <w:jc w:val="right"/>
              <w:ind w:right="680"/>
              <w:spacing w:after="0"/>
              <w:rPr>
                <w:sz w:val="20"/>
                <w:szCs w:val="20"/>
                <w:color w:val="auto"/>
              </w:rPr>
            </w:pPr>
            <w:r>
              <w:rPr>
                <w:rFonts w:ascii="Arial" w:cs="Arial" w:eastAsia="Arial" w:hAnsi="Arial"/>
                <w:sz w:val="5"/>
                <w:szCs w:val="5"/>
                <w:color w:val="auto"/>
                <w:w w:val="70"/>
              </w:rPr>
              <w:t>$</w:t>
            </w:r>
          </w:p>
        </w:tc>
        <w:tc>
          <w:tcPr>
            <w:tcW w:w="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ind w:left="360"/>
              <w:spacing w:after="0"/>
              <w:rPr>
                <w:sz w:val="20"/>
                <w:szCs w:val="20"/>
                <w:color w:val="auto"/>
              </w:rPr>
            </w:pPr>
            <w:r>
              <w:rPr>
                <w:rFonts w:ascii="Arial" w:cs="Arial" w:eastAsia="Arial" w:hAnsi="Arial"/>
                <w:sz w:val="18"/>
                <w:szCs w:val="18"/>
                <w:color w:val="auto"/>
                <w:w w:val="91"/>
              </w:rPr>
              <w:t>(1,881)</w:t>
            </w:r>
          </w:p>
        </w:tc>
        <w:tc>
          <w:tcPr>
            <w:tcW w:w="12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21"/>
                <w:szCs w:val="21"/>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(1,881)</w:t>
            </w:r>
          </w:p>
        </w:tc>
      </w:tr>
      <w:tr>
        <w:trPr>
          <w:trHeight w:val="28"/>
        </w:trPr>
        <w:tc>
          <w:tcPr>
            <w:tcW w:w="6840" w:type="dxa"/>
            <w:vAlign w:val="bottom"/>
            <w:tcBorders>
              <w:right w:val="single" w:sz="8" w:color="auto"/>
            </w:tcBorders>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r>
    </w:tbl>
    <w:p>
      <w:pPr>
        <w:spacing w:after="0" w:line="262" w:lineRule="exact"/>
        <w:rPr>
          <w:sz w:val="20"/>
          <w:szCs w:val="20"/>
          <w:color w:val="auto"/>
        </w:rPr>
      </w:pPr>
    </w:p>
    <w:p>
      <w:pPr>
        <w:ind w:right="80" w:firstLine="270"/>
        <w:spacing w:after="0" w:line="259" w:lineRule="auto"/>
        <w:rPr>
          <w:sz w:val="20"/>
          <w:szCs w:val="20"/>
          <w:color w:val="auto"/>
        </w:rPr>
      </w:pPr>
      <w:r>
        <w:rPr>
          <w:rFonts w:ascii="Arial" w:cs="Arial" w:eastAsia="Arial" w:hAnsi="Arial"/>
          <w:sz w:val="18"/>
          <w:szCs w:val="18"/>
          <w:color w:val="auto"/>
        </w:rPr>
        <w:t>The fair value of the common stock warrants liability was determined using the Black-Scholes option pricing model. A significant observable input into the model included the market price of the Company's common stock at the measurement date. Gains or losses related to fair value adjustments to the common stock warrants liability are included in other income (expense), net.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and Liabilities Measured at Fair Value on a Nonrecurring Basis</w:t>
      </w:r>
    </w:p>
    <w:p>
      <w:pPr>
        <w:spacing w:after="0" w:line="27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Company did not have any nonfinancial assets or liabilities measured at fair value on a nonrecurring basis as of January 30, 2011 and October 31, 2010.</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Other Financial Instruments</w:t>
      </w:r>
    </w:p>
    <w:p>
      <w:pPr>
        <w:spacing w:after="0" w:line="279" w:lineRule="exact"/>
        <w:rPr>
          <w:sz w:val="20"/>
          <w:szCs w:val="20"/>
          <w:color w:val="auto"/>
        </w:rPr>
      </w:pPr>
    </w:p>
    <w:p>
      <w:pPr>
        <w:ind w:firstLine="270"/>
        <w:spacing w:after="0" w:line="256" w:lineRule="auto"/>
        <w:rPr>
          <w:sz w:val="20"/>
          <w:szCs w:val="20"/>
          <w:color w:val="auto"/>
        </w:rPr>
      </w:pPr>
      <w:r>
        <w:rPr>
          <w:rFonts w:ascii="Arial" w:cs="Arial" w:eastAsia="Arial" w:hAnsi="Arial"/>
          <w:sz w:val="18"/>
          <w:szCs w:val="18"/>
          <w:color w:val="auto"/>
        </w:rPr>
        <w:t>The fair values of the Company's cash and cash equivalents, accounts receivable, accounts payable, and certain other current assets and current liabilities approximate their carrying value due to their short-term maturities. The fair value of the Company's variable rate long-term debt approximates its carrying value due to the variable nature of the underlying interest rates. The estimated fair value of the Company's outstanding 5.5% convertible senior notes was approximately $86.7 million as of January 30, 2011.</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17"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NOTE 13 - COMMITMENTS AND CONTINGENCIES</w:t>
      </w:r>
    </w:p>
    <w:p>
      <w:pPr>
        <w:spacing w:after="0" w:line="28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As of January 30, 2011, the Company had commitments outstanding for capital expenditures of approximately $29 million.</w:t>
      </w:r>
    </w:p>
    <w:p>
      <w:pPr>
        <w:spacing w:after="0" w:line="279" w:lineRule="exact"/>
        <w:rPr>
          <w:sz w:val="20"/>
          <w:szCs w:val="20"/>
          <w:color w:val="auto"/>
        </w:rPr>
      </w:pPr>
    </w:p>
    <w:p>
      <w:pPr>
        <w:ind w:right="180" w:firstLine="270"/>
        <w:spacing w:after="0" w:line="268" w:lineRule="auto"/>
        <w:rPr>
          <w:sz w:val="20"/>
          <w:szCs w:val="20"/>
          <w:color w:val="auto"/>
        </w:rPr>
      </w:pPr>
      <w:r>
        <w:rPr>
          <w:rFonts w:ascii="Arial" w:cs="Arial" w:eastAsia="Arial" w:hAnsi="Arial"/>
          <w:sz w:val="18"/>
          <w:szCs w:val="18"/>
          <w:color w:val="auto"/>
        </w:rPr>
        <w:t>The Company is subject to various claims that arise in the ordinary course of business. The Company believes such claims, individually or in the aggregate, will not have a material adverse effect on the business of the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RECENT ACCOUNTING PRONOUNCEMENTS</w:t>
      </w:r>
    </w:p>
    <w:p>
      <w:pPr>
        <w:spacing w:after="0" w:line="285" w:lineRule="exact"/>
        <w:rPr>
          <w:sz w:val="20"/>
          <w:szCs w:val="20"/>
          <w:color w:val="auto"/>
        </w:rPr>
      </w:pPr>
    </w:p>
    <w:p>
      <w:pPr>
        <w:ind w:firstLine="270"/>
        <w:spacing w:after="0" w:line="306" w:lineRule="auto"/>
        <w:rPr>
          <w:sz w:val="20"/>
          <w:szCs w:val="20"/>
          <w:color w:val="auto"/>
        </w:rPr>
      </w:pPr>
      <w:r>
        <w:rPr>
          <w:rFonts w:ascii="Arial" w:cs="Arial" w:eastAsia="Arial" w:hAnsi="Arial"/>
          <w:sz w:val="16"/>
          <w:szCs w:val="16"/>
          <w:color w:val="auto"/>
        </w:rPr>
        <w:t>In July 2010, the FASB amended its guidance on disclosures for financing receivables with the intention of providing additional information to assist financial statement users in assessing an entity's credit risk exposures and evaluating the adequacy of its allowance for credit losses. Upon reviewing the guidance the Company determined that disclosures relating to activity that occurs during and at the end of a reporting period are not applicable to it.</w:t>
      </w:r>
    </w:p>
    <w:p>
      <w:pPr>
        <w:spacing w:after="0" w:line="215" w:lineRule="exact"/>
        <w:rPr>
          <w:sz w:val="20"/>
          <w:szCs w:val="20"/>
          <w:color w:val="auto"/>
        </w:rPr>
      </w:pPr>
    </w:p>
    <w:p>
      <w:pPr>
        <w:ind w:right="20" w:firstLine="270"/>
        <w:spacing w:after="0" w:line="288" w:lineRule="auto"/>
        <w:rPr>
          <w:sz w:val="20"/>
          <w:szCs w:val="20"/>
          <w:color w:val="auto"/>
        </w:rPr>
      </w:pPr>
      <w:r>
        <w:rPr>
          <w:rFonts w:ascii="Arial" w:cs="Arial" w:eastAsia="Arial" w:hAnsi="Arial"/>
          <w:sz w:val="16"/>
          <w:szCs w:val="16"/>
          <w:color w:val="auto"/>
        </w:rPr>
        <w:t>In September 2009, the FASB issued revised guidance for multiple-deliverable revenue arrangements. This guidance changes the criteria for separating consideration in multiple-deliverable arrangements by establishing a selling price hierarchy for determining the selling price of a deliverable. Under the revised guidance, the selling price for each deliverable in a multiple-deliverable arrangement will, in order of preference and when available, be based on vendor specific objective evidence, third party evidence, or estimated selling price. The revised guidance prescribes that an estimated selling price be determined in a manner that is consistent with that used to determine the price to sell the deliverable on a stand-alone basis, eliminates the residual method of allocation, and requires that arrangement consideration be allocated at the inception of the arrangement to all deliverables using the relative selling price method. The revised guidance also significantly expands the disclosures related to multiple-deliverable arrangements, and is effective prospectively for revenue arrangements entered into or materially modified in fiscal years beginning on or after June 15, 2010, with early adoption permitted. The adoption of this guidance by the Company on November 1, 2010 did not have an impact on the Company's consolidated financial statements.</w:t>
      </w:r>
    </w:p>
    <w:p>
      <w:pPr>
        <w:spacing w:after="0" w:line="228" w:lineRule="exact"/>
        <w:rPr>
          <w:sz w:val="20"/>
          <w:szCs w:val="20"/>
          <w:color w:val="auto"/>
        </w:rPr>
      </w:pPr>
    </w:p>
    <w:p>
      <w:pPr>
        <w:ind w:firstLine="270"/>
        <w:spacing w:after="0" w:line="288" w:lineRule="auto"/>
        <w:rPr>
          <w:sz w:val="20"/>
          <w:szCs w:val="20"/>
          <w:color w:val="auto"/>
        </w:rPr>
      </w:pPr>
      <w:r>
        <w:rPr>
          <w:rFonts w:ascii="Arial" w:cs="Arial" w:eastAsia="Arial" w:hAnsi="Arial"/>
          <w:sz w:val="16"/>
          <w:szCs w:val="16"/>
          <w:color w:val="auto"/>
        </w:rPr>
        <w:t>In June 2009, the FASB issued amended standards for determining whether to consolidate a VIE. The amended standards require an enterprise to perform an analysis to determine whether its variable interest or interests give it a controlling financial interest in a variable interest entity. This analysis is performed in order to identify the primary beneficiary of the variable interest entity as being the enterprise that has certain characteristics described in the amended standards. The amended standards, in addition to other requirements, require an enterprise to assess whether it has an implicit financial responsibility to ensure that a variable interest entity operates as designed when determining whether it has the power to direct the activities of the variable interest entity that most significantly impact the entity's financial performance, and mandates ongoing reassessments of whether an enterprise is the primary beneficiary of a variable interest entity. During its first quarter of fiscal 2011, the Company adopted the provisions of these amended standards and determined that, similar to the determination made under previous accounting standards, it is not the primary beneficiary of the variable interest entity of which it holds an interest in. Therefore, the Company has continued to account for this interest using the equity method of accounting for investments. See Note 3 for further discussion of the Company’s determination.</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611" w:right="2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85" w:lineRule="exact"/>
        <w:rPr>
          <w:sz w:val="20"/>
          <w:szCs w:val="20"/>
          <w:color w:val="auto"/>
        </w:rPr>
      </w:pPr>
    </w:p>
    <w:p>
      <w:pPr>
        <w:ind w:right="20" w:firstLine="270"/>
        <w:spacing w:after="0" w:line="298" w:lineRule="auto"/>
        <w:rPr>
          <w:sz w:val="20"/>
          <w:szCs w:val="20"/>
          <w:color w:val="auto"/>
        </w:rPr>
      </w:pPr>
      <w:r>
        <w:rPr>
          <w:rFonts w:ascii="Arial" w:cs="Arial" w:eastAsia="Arial" w:hAnsi="Arial"/>
          <w:sz w:val="16"/>
          <w:szCs w:val="16"/>
          <w:color w:val="auto"/>
        </w:rPr>
        <w:t>Management's discussion and analysis ("MD&amp;A") of the Company's financial condition, results of operations and outlook should be read in conjunction with its condensed consolidated financial statements and related notes. Various segments of this MD&amp;A contain forward-looking statements, all of which are presented based on current expectations and may be adversely affected by uncertainties and risk factors (presented throughout this filing and in the Company's Annual Report on Form 10-K for the fiscal 2010 year), that may cause actual results to materially differ from these expectations.</w:t>
      </w:r>
    </w:p>
    <w:p>
      <w:pPr>
        <w:spacing w:after="0" w:line="221" w:lineRule="exact"/>
        <w:rPr>
          <w:sz w:val="20"/>
          <w:szCs w:val="20"/>
          <w:color w:val="auto"/>
        </w:rPr>
      </w:pPr>
    </w:p>
    <w:p>
      <w:pPr>
        <w:ind w:right="100" w:firstLine="270"/>
        <w:spacing w:after="0" w:line="286" w:lineRule="auto"/>
        <w:rPr>
          <w:sz w:val="20"/>
          <w:szCs w:val="20"/>
          <w:color w:val="auto"/>
        </w:rPr>
      </w:pPr>
      <w:r>
        <w:rPr>
          <w:rFonts w:ascii="Arial" w:cs="Arial" w:eastAsia="Arial" w:hAnsi="Arial"/>
          <w:sz w:val="16"/>
          <w:szCs w:val="16"/>
          <w:color w:val="auto"/>
        </w:rPr>
        <w:t>The Company sells substantially all of its photomasks to semiconductor designers and manufacturers, and manufacturers of FPDs. Photomask technology is also being applied to the fabrication of other higher performance electronic products such as photonics, micro-electronic mechanical systems and certain nanotechnology applications. Thus, the Company's selling cycle is tightly interwoven with the development and release of new semiconductor designs and flat panel applications, particularly as it relates to the semiconductor industry's migration to more advanced design methodologies and fabrication processes. The Company believes that the demand for photomasks primarily depends on design activity rather than sales volumes from products produced using photomask technologies. Consequently, an increase in semiconductor or FPD sales does not necessarily result in a corresponding increase in photomask sales. However, the reduced use of customized ICs, reductions in design complexity, other changes in the technology or methods of manufacturing or designing semiconductors, or a slowdown in the introduction of new semiconductor or FPD designs could reduce demand for photomasks even if demand for semiconductors and FPDs increases. Advances in semiconductor and photomask design and semiconductor production methods could reduce the demand for photomasks. Historically, the semiconductor industry has been volatile, with sharp periodic downturns and slowdowns. These downturns have been characterized by, among other things, diminished product demand, excess production capacity and accelerated erosion of selling prices.</w:t>
      </w:r>
    </w:p>
    <w:p>
      <w:pPr>
        <w:spacing w:after="0" w:line="235" w:lineRule="exact"/>
        <w:rPr>
          <w:sz w:val="20"/>
          <w:szCs w:val="20"/>
          <w:color w:val="auto"/>
        </w:rPr>
      </w:pPr>
    </w:p>
    <w:p>
      <w:pPr>
        <w:ind w:firstLine="270"/>
        <w:spacing w:after="0" w:line="289" w:lineRule="auto"/>
        <w:rPr>
          <w:sz w:val="20"/>
          <w:szCs w:val="20"/>
          <w:color w:val="auto"/>
        </w:rPr>
      </w:pPr>
      <w:r>
        <w:rPr>
          <w:rFonts w:ascii="Arial" w:cs="Arial" w:eastAsia="Arial" w:hAnsi="Arial"/>
          <w:sz w:val="16"/>
          <w:szCs w:val="16"/>
          <w:color w:val="auto"/>
        </w:rPr>
        <w:t>The global semiconductor industry is driven by end markets which have been closely tied to consumer driven applications of high performance semiconductor devices including, but not limited to, communications and mobile computing solutions. The Company is typically required to fulfill its customer orders within a short period of time, sometimes within 24 hours. This results in the Company having a minimal level of back-log orders, typically one to two weeks for IC photomasks and two to three weeks for FPD photomasks. The Company cannot predict the timing of the industry's transition to volume production of next generation technology nodes or the timing of up and down cycles with precise accuracy, but believes that such transitions and cycles will continue into the future, beneficially and adversely affecting its business, financial condition and operating results in the near term. The Company's ability to remain successful in these environments is dependent upon achieving its goals of being a service and technology leader, an efficient solutions supplier, and a company able to continually reinvest in its global infrastructure.</w:t>
      </w:r>
    </w:p>
    <w:p>
      <w:pPr>
        <w:spacing w:after="0" w:line="226" w:lineRule="exact"/>
        <w:rPr>
          <w:sz w:val="20"/>
          <w:szCs w:val="20"/>
          <w:color w:val="auto"/>
        </w:rPr>
      </w:pPr>
    </w:p>
    <w:p>
      <w:pPr>
        <w:ind w:right="60" w:firstLine="270"/>
        <w:spacing w:after="0" w:line="259" w:lineRule="auto"/>
        <w:rPr>
          <w:sz w:val="20"/>
          <w:szCs w:val="20"/>
          <w:color w:val="auto"/>
        </w:rPr>
      </w:pPr>
      <w:r>
        <w:rPr>
          <w:rFonts w:ascii="Arial" w:cs="Arial" w:eastAsia="Arial" w:hAnsi="Arial"/>
          <w:sz w:val="18"/>
          <w:szCs w:val="18"/>
          <w:color w:val="auto"/>
        </w:rPr>
        <w:t>The effects of the weakened global economy and the tightened credit market have made it increasingly difficult for the Company to obtain external sources of financing to fund its operations. As the Company continues to face challenges in the current and near term that require it to continue to make significant improvements in its competitiveness, it continues to evaluate further cost reduction initiatives.</w:t>
      </w:r>
    </w:p>
    <w:p>
      <w:pPr>
        <w:spacing w:after="0" w:line="248" w:lineRule="exact"/>
        <w:rPr>
          <w:sz w:val="20"/>
          <w:szCs w:val="20"/>
          <w:color w:val="auto"/>
        </w:rPr>
      </w:pPr>
    </w:p>
    <w:p>
      <w:pPr>
        <w:ind w:firstLine="270"/>
        <w:spacing w:after="0" w:line="291" w:lineRule="auto"/>
        <w:rPr>
          <w:sz w:val="20"/>
          <w:szCs w:val="20"/>
          <w:color w:val="auto"/>
        </w:rPr>
      </w:pPr>
      <w:r>
        <w:rPr>
          <w:rFonts w:ascii="Arial" w:cs="Arial" w:eastAsia="Arial" w:hAnsi="Arial"/>
          <w:sz w:val="16"/>
          <w:szCs w:val="16"/>
          <w:color w:val="auto"/>
        </w:rPr>
        <w:t>The Company's ability to comply with the financial and other covenants in its debt agreements may be affected by economic or business conditions, or other events. Existing covenant restrictions limit the Company's ability to obtain additional debt financing and, should the Company be unable to meet one or more of these covenants, its lenders may require the Company to repay its outstanding balances prior to the expiration date of the agreements. The Company cannot assure that additional sources of financing would be available to the Company to pay off its long-term borrowings to avoid default. Should the Company default on any of its long-term borrowings, a cross default would occur on certain of its other long-term borrowings, unless amended or waived. As of January 30, 2011, the Company was in compliance with its debt covenants.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25"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Material Changes in Results of Operations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January 30, 2011 versus January 31, 2010</w:t>
      </w:r>
    </w:p>
    <w:p>
      <w:pPr>
        <w:spacing w:after="0" w:line="27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following table represents selected operating information expressed as a percentage of net sales.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820" w:type="dxa"/>
            <w:vAlign w:val="bottom"/>
          </w:tcPr>
          <w:p>
            <w:pPr>
              <w:spacing w:after="0"/>
              <w:rPr>
                <w:sz w:val="20"/>
                <w:szCs w:val="20"/>
                <w:color w:val="auto"/>
              </w:rPr>
            </w:pPr>
          </w:p>
        </w:tc>
        <w:tc>
          <w:tcPr>
            <w:tcW w:w="2320" w:type="dxa"/>
            <w:vAlign w:val="bottom"/>
            <w:tcBorders>
              <w:bottom w:val="single" w:sz="8" w:color="auto"/>
            </w:tcBorders>
            <w:gridSpan w:val="3"/>
          </w:tcPr>
          <w:p>
            <w:pPr>
              <w:jc w:val="right"/>
              <w:ind w:right="272"/>
              <w:spacing w:after="0"/>
              <w:rPr>
                <w:sz w:val="20"/>
                <w:szCs w:val="20"/>
                <w:color w:val="auto"/>
              </w:rPr>
            </w:pPr>
            <w:r>
              <w:rPr>
                <w:rFonts w:ascii="Arial" w:cs="Arial" w:eastAsia="Arial" w:hAnsi="Arial"/>
                <w:sz w:val="18"/>
                <w:szCs w:val="18"/>
                <w:b w:val="1"/>
                <w:bCs w:val="1"/>
                <w:color w:val="auto"/>
              </w:rPr>
              <w:t>Three Months Ended</w:t>
            </w:r>
          </w:p>
        </w:tc>
      </w:tr>
      <w:tr>
        <w:trPr>
          <w:trHeight w:val="228"/>
        </w:trPr>
        <w:tc>
          <w:tcPr>
            <w:tcW w:w="6820" w:type="dxa"/>
            <w:vAlign w:val="bottom"/>
          </w:tcPr>
          <w:p>
            <w:pPr>
              <w:spacing w:after="0"/>
              <w:rPr>
                <w:sz w:val="19"/>
                <w:szCs w:val="19"/>
                <w:color w:val="auto"/>
              </w:rPr>
            </w:pPr>
          </w:p>
        </w:tc>
        <w:tc>
          <w:tcPr>
            <w:tcW w:w="1300" w:type="dxa"/>
            <w:vAlign w:val="bottom"/>
            <w:gridSpan w:val="2"/>
          </w:tcPr>
          <w:p>
            <w:pPr>
              <w:ind w:left="60"/>
              <w:spacing w:after="0"/>
              <w:rPr>
                <w:sz w:val="20"/>
                <w:szCs w:val="20"/>
                <w:color w:val="auto"/>
              </w:rPr>
            </w:pPr>
            <w:r>
              <w:rPr>
                <w:rFonts w:ascii="Arial" w:cs="Arial" w:eastAsia="Arial" w:hAnsi="Arial"/>
                <w:sz w:val="18"/>
                <w:szCs w:val="18"/>
                <w:b w:val="1"/>
                <w:bCs w:val="1"/>
                <w:color w:val="auto"/>
              </w:rPr>
              <w:t>January 30,</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w w:val="92"/>
              </w:rPr>
              <w:t>January 31,</w:t>
            </w:r>
          </w:p>
        </w:tc>
      </w:tr>
      <w:tr>
        <w:trPr>
          <w:trHeight w:val="251"/>
        </w:trPr>
        <w:tc>
          <w:tcPr>
            <w:tcW w:w="6820" w:type="dxa"/>
            <w:vAlign w:val="bottom"/>
            <w:tcBorders>
              <w:bottom w:val="single" w:sz="8" w:color="C0C0C0"/>
            </w:tcBorders>
          </w:tcPr>
          <w:p>
            <w:pPr>
              <w:spacing w:after="0"/>
              <w:rPr>
                <w:sz w:val="21"/>
                <w:szCs w:val="21"/>
                <w:color w:val="auto"/>
              </w:rPr>
            </w:pPr>
          </w:p>
        </w:tc>
        <w:tc>
          <w:tcPr>
            <w:tcW w:w="102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2011</w:t>
            </w:r>
          </w:p>
        </w:tc>
        <w:tc>
          <w:tcPr>
            <w:tcW w:w="280" w:type="dxa"/>
            <w:vAlign w:val="bottom"/>
            <w:tcBorders>
              <w:bottom w:val="single" w:sz="8" w:color="C0C0C0"/>
            </w:tcBorders>
          </w:tcPr>
          <w:p>
            <w:pPr>
              <w:spacing w:after="0"/>
              <w:rPr>
                <w:sz w:val="21"/>
                <w:szCs w:val="21"/>
                <w:color w:val="auto"/>
              </w:rPr>
            </w:pPr>
          </w:p>
        </w:tc>
        <w:tc>
          <w:tcPr>
            <w:tcW w:w="102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2010</w:t>
            </w:r>
          </w:p>
        </w:tc>
      </w:tr>
      <w:tr>
        <w:trPr>
          <w:trHeight w:val="243"/>
        </w:trPr>
        <w:tc>
          <w:tcPr>
            <w:tcW w:w="6820" w:type="dxa"/>
            <w:vAlign w:val="bottom"/>
            <w:shd w:val="clear" w:color="auto" w:fill="C0C0C0"/>
          </w:tcPr>
          <w:p>
            <w:pPr>
              <w:spacing w:after="0"/>
              <w:rPr>
                <w:sz w:val="20"/>
                <w:szCs w:val="20"/>
                <w:color w:val="auto"/>
              </w:rPr>
            </w:pPr>
            <w:r>
              <w:rPr>
                <w:rFonts w:ascii="Arial" w:cs="Arial" w:eastAsia="Arial" w:hAnsi="Arial"/>
                <w:sz w:val="18"/>
                <w:szCs w:val="18"/>
                <w:color w:val="auto"/>
              </w:rPr>
              <w:t>Net sales</w:t>
            </w:r>
          </w:p>
        </w:tc>
        <w:tc>
          <w:tcPr>
            <w:tcW w:w="10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100.0%</w:t>
            </w:r>
          </w:p>
        </w:tc>
        <w:tc>
          <w:tcPr>
            <w:tcW w:w="280" w:type="dxa"/>
            <w:vAlign w:val="bottom"/>
            <w:shd w:val="clear" w:color="auto" w:fill="C0C0C0"/>
          </w:tcPr>
          <w:p>
            <w:pPr>
              <w:spacing w:after="0"/>
              <w:rPr>
                <w:sz w:val="21"/>
                <w:szCs w:val="21"/>
                <w:color w:val="auto"/>
              </w:rPr>
            </w:pPr>
          </w:p>
        </w:tc>
        <w:tc>
          <w:tcPr>
            <w:tcW w:w="10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100.0%</w:t>
            </w:r>
          </w:p>
        </w:tc>
      </w:tr>
      <w:tr>
        <w:trPr>
          <w:trHeight w:val="237"/>
        </w:trPr>
        <w:tc>
          <w:tcPr>
            <w:tcW w:w="6820" w:type="dxa"/>
            <w:vAlign w:val="bottom"/>
            <w:tcBorders>
              <w:bottom w:val="single" w:sz="8" w:color="C0C0C0"/>
            </w:tcBorders>
          </w:tcPr>
          <w:p>
            <w:pPr>
              <w:spacing w:after="0"/>
              <w:rPr>
                <w:sz w:val="20"/>
                <w:szCs w:val="20"/>
                <w:color w:val="auto"/>
              </w:rPr>
            </w:pPr>
            <w:r>
              <w:rPr>
                <w:rFonts w:ascii="Arial" w:cs="Arial" w:eastAsia="Arial" w:hAnsi="Arial"/>
                <w:sz w:val="18"/>
                <w:szCs w:val="18"/>
                <w:color w:val="auto"/>
              </w:rPr>
              <w:t>Cost of sales</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w:t>
            </w:r>
          </w:p>
        </w:tc>
        <w:tc>
          <w:tcPr>
            <w:tcW w:w="280" w:type="dxa"/>
            <w:vAlign w:val="bottom"/>
            <w:tcBorders>
              <w:bottom w:val="single" w:sz="8" w:color="C0C0C0"/>
            </w:tcBorders>
          </w:tcPr>
          <w:p>
            <w:pPr>
              <w:spacing w:after="0"/>
              <w:rPr>
                <w:sz w:val="20"/>
                <w:szCs w:val="20"/>
                <w:color w:val="auto"/>
              </w:rPr>
            </w:pP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(81.5)</w:t>
            </w:r>
          </w:p>
        </w:tc>
      </w:tr>
      <w:tr>
        <w:trPr>
          <w:trHeight w:val="243"/>
        </w:trPr>
        <w:tc>
          <w:tcPr>
            <w:tcW w:w="6820" w:type="dxa"/>
            <w:vAlign w:val="bottom"/>
            <w:shd w:val="clear" w:color="auto" w:fill="C0C0C0"/>
          </w:tcPr>
          <w:p>
            <w:pPr>
              <w:spacing w:after="0"/>
              <w:rPr>
                <w:sz w:val="20"/>
                <w:szCs w:val="20"/>
                <w:color w:val="auto"/>
              </w:rPr>
            </w:pPr>
            <w:r>
              <w:rPr>
                <w:rFonts w:ascii="Arial" w:cs="Arial" w:eastAsia="Arial" w:hAnsi="Arial"/>
                <w:sz w:val="18"/>
                <w:szCs w:val="18"/>
                <w:color w:val="auto"/>
              </w:rPr>
              <w:t>Gross margin</w:t>
            </w:r>
          </w:p>
        </w:tc>
        <w:tc>
          <w:tcPr>
            <w:tcW w:w="10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25.3</w:t>
            </w:r>
          </w:p>
        </w:tc>
        <w:tc>
          <w:tcPr>
            <w:tcW w:w="280" w:type="dxa"/>
            <w:vAlign w:val="bottom"/>
            <w:shd w:val="clear" w:color="auto" w:fill="C0C0C0"/>
          </w:tcPr>
          <w:p>
            <w:pPr>
              <w:spacing w:after="0"/>
              <w:rPr>
                <w:sz w:val="21"/>
                <w:szCs w:val="21"/>
                <w:color w:val="auto"/>
              </w:rPr>
            </w:pPr>
          </w:p>
        </w:tc>
        <w:tc>
          <w:tcPr>
            <w:tcW w:w="102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18.5</w:t>
            </w:r>
          </w:p>
        </w:tc>
      </w:tr>
      <w:tr>
        <w:trPr>
          <w:trHeight w:val="235"/>
        </w:trPr>
        <w:tc>
          <w:tcPr>
            <w:tcW w:w="682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020" w:type="dxa"/>
            <w:vAlign w:val="bottom"/>
          </w:tcPr>
          <w:p>
            <w:pPr>
              <w:jc w:val="right"/>
              <w:spacing w:after="0"/>
              <w:rPr>
                <w:sz w:val="20"/>
                <w:szCs w:val="20"/>
                <w:color w:val="auto"/>
              </w:rPr>
            </w:pPr>
            <w:r>
              <w:rPr>
                <w:rFonts w:ascii="Arial" w:cs="Arial" w:eastAsia="Arial" w:hAnsi="Arial"/>
                <w:sz w:val="18"/>
                <w:szCs w:val="18"/>
                <w:color w:val="auto"/>
              </w:rPr>
              <w:t>(8.9)</w:t>
            </w:r>
          </w:p>
        </w:tc>
        <w:tc>
          <w:tcPr>
            <w:tcW w:w="280" w:type="dxa"/>
            <w:vAlign w:val="bottom"/>
          </w:tcPr>
          <w:p>
            <w:pPr>
              <w:spacing w:after="0"/>
              <w:rPr>
                <w:sz w:val="20"/>
                <w:szCs w:val="20"/>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(10.4)</w:t>
            </w:r>
          </w:p>
        </w:tc>
      </w:tr>
      <w:tr>
        <w:trPr>
          <w:trHeight w:val="251"/>
        </w:trPr>
        <w:tc>
          <w:tcPr>
            <w:tcW w:w="6820" w:type="dxa"/>
            <w:vAlign w:val="bottom"/>
            <w:shd w:val="clear" w:color="auto" w:fill="C0C0C0"/>
          </w:tcPr>
          <w:p>
            <w:pPr>
              <w:spacing w:after="0"/>
              <w:rPr>
                <w:sz w:val="20"/>
                <w:szCs w:val="20"/>
                <w:color w:val="auto"/>
              </w:rPr>
            </w:pPr>
            <w:r>
              <w:rPr>
                <w:rFonts w:ascii="Arial" w:cs="Arial" w:eastAsia="Arial" w:hAnsi="Arial"/>
                <w:sz w:val="18"/>
                <w:szCs w:val="18"/>
                <w:color w:val="auto"/>
              </w:rPr>
              <w:t>Research and development expenses</w:t>
            </w:r>
          </w:p>
        </w:tc>
        <w:tc>
          <w:tcPr>
            <w:tcW w:w="10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(3.1)</w:t>
            </w:r>
          </w:p>
        </w:tc>
        <w:tc>
          <w:tcPr>
            <w:tcW w:w="280" w:type="dxa"/>
            <w:vAlign w:val="bottom"/>
            <w:shd w:val="clear" w:color="auto" w:fill="C0C0C0"/>
          </w:tcPr>
          <w:p>
            <w:pPr>
              <w:spacing w:after="0"/>
              <w:rPr>
                <w:sz w:val="21"/>
                <w:szCs w:val="21"/>
                <w:color w:val="auto"/>
              </w:rPr>
            </w:pPr>
          </w:p>
        </w:tc>
        <w:tc>
          <w:tcPr>
            <w:tcW w:w="10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(4.0)</w:t>
            </w:r>
          </w:p>
        </w:tc>
      </w:tr>
      <w:tr>
        <w:trPr>
          <w:trHeight w:val="237"/>
        </w:trPr>
        <w:tc>
          <w:tcPr>
            <w:tcW w:w="6820" w:type="dxa"/>
            <w:vAlign w:val="bottom"/>
            <w:tcBorders>
              <w:bottom w:val="single" w:sz="8" w:color="C0C0C0"/>
            </w:tcBorders>
          </w:tcPr>
          <w:p>
            <w:pPr>
              <w:spacing w:after="0"/>
              <w:rPr>
                <w:sz w:val="20"/>
                <w:szCs w:val="20"/>
                <w:color w:val="auto"/>
              </w:rPr>
            </w:pPr>
            <w:r>
              <w:rPr>
                <w:rFonts w:ascii="Arial" w:cs="Arial" w:eastAsia="Arial" w:hAnsi="Arial"/>
                <w:sz w:val="18"/>
                <w:szCs w:val="18"/>
                <w:color w:val="auto"/>
              </w:rPr>
              <w:t>Consolidation, restructuring and related charges</w:t>
            </w:r>
          </w:p>
        </w:tc>
        <w:tc>
          <w:tcPr>
            <w:tcW w:w="10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0C0C0"/>
            </w:tcBorders>
          </w:tcPr>
          <w:p>
            <w:pPr>
              <w:spacing w:after="0"/>
              <w:rPr>
                <w:sz w:val="20"/>
                <w:szCs w:val="20"/>
                <w:color w:val="auto"/>
              </w:rPr>
            </w:pP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(0.2)</w:t>
            </w:r>
          </w:p>
        </w:tc>
      </w:tr>
      <w:tr>
        <w:trPr>
          <w:trHeight w:val="243"/>
        </w:trPr>
        <w:tc>
          <w:tcPr>
            <w:tcW w:w="6820" w:type="dxa"/>
            <w:vAlign w:val="bottom"/>
            <w:shd w:val="clear" w:color="auto" w:fill="C0C0C0"/>
          </w:tcPr>
          <w:p>
            <w:pPr>
              <w:spacing w:after="0"/>
              <w:rPr>
                <w:sz w:val="20"/>
                <w:szCs w:val="20"/>
                <w:color w:val="auto"/>
              </w:rPr>
            </w:pPr>
            <w:r>
              <w:rPr>
                <w:rFonts w:ascii="Arial" w:cs="Arial" w:eastAsia="Arial" w:hAnsi="Arial"/>
                <w:sz w:val="18"/>
                <w:szCs w:val="18"/>
                <w:color w:val="auto"/>
              </w:rPr>
              <w:t>Operating income</w:t>
            </w:r>
          </w:p>
        </w:tc>
        <w:tc>
          <w:tcPr>
            <w:tcW w:w="10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13.3</w:t>
            </w:r>
          </w:p>
        </w:tc>
        <w:tc>
          <w:tcPr>
            <w:tcW w:w="280" w:type="dxa"/>
            <w:vAlign w:val="bottom"/>
            <w:shd w:val="clear" w:color="auto" w:fill="C0C0C0"/>
          </w:tcPr>
          <w:p>
            <w:pPr>
              <w:spacing w:after="0"/>
              <w:rPr>
                <w:sz w:val="21"/>
                <w:szCs w:val="21"/>
                <w:color w:val="auto"/>
              </w:rPr>
            </w:pPr>
          </w:p>
        </w:tc>
        <w:tc>
          <w:tcPr>
            <w:tcW w:w="102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3.9</w:t>
            </w:r>
          </w:p>
        </w:tc>
      </w:tr>
      <w:tr>
        <w:trPr>
          <w:trHeight w:val="237"/>
        </w:trPr>
        <w:tc>
          <w:tcPr>
            <w:tcW w:w="6820" w:type="dxa"/>
            <w:vAlign w:val="bottom"/>
            <w:tcBorders>
              <w:bottom w:val="single" w:sz="8" w:color="C0C0C0"/>
            </w:tcBorders>
          </w:tcPr>
          <w:p>
            <w:pPr>
              <w:spacing w:after="0"/>
              <w:rPr>
                <w:sz w:val="20"/>
                <w:szCs w:val="20"/>
                <w:color w:val="auto"/>
              </w:rPr>
            </w:pPr>
            <w:r>
              <w:rPr>
                <w:rFonts w:ascii="Arial" w:cs="Arial" w:eastAsia="Arial" w:hAnsi="Arial"/>
                <w:sz w:val="18"/>
                <w:szCs w:val="18"/>
                <w:color w:val="auto"/>
              </w:rPr>
              <w:t>Other income (expense), net</w:t>
            </w:r>
          </w:p>
        </w:tc>
        <w:tc>
          <w:tcPr>
            <w:tcW w:w="10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0.8</w:t>
            </w:r>
          </w:p>
        </w:tc>
        <w:tc>
          <w:tcPr>
            <w:tcW w:w="280" w:type="dxa"/>
            <w:vAlign w:val="bottom"/>
            <w:tcBorders>
              <w:bottom w:val="single" w:sz="8" w:color="C0C0C0"/>
            </w:tcBorders>
          </w:tcPr>
          <w:p>
            <w:pPr>
              <w:spacing w:after="0"/>
              <w:rPr>
                <w:sz w:val="20"/>
                <w:szCs w:val="20"/>
                <w:color w:val="auto"/>
              </w:rPr>
            </w:pP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(2.5)</w:t>
            </w:r>
          </w:p>
        </w:tc>
      </w:tr>
      <w:tr>
        <w:trPr>
          <w:trHeight w:val="243"/>
        </w:trPr>
        <w:tc>
          <w:tcPr>
            <w:tcW w:w="6820" w:type="dxa"/>
            <w:vAlign w:val="bottom"/>
            <w:shd w:val="clear" w:color="auto" w:fill="C0C0C0"/>
          </w:tcPr>
          <w:p>
            <w:pPr>
              <w:spacing w:after="0"/>
              <w:rPr>
                <w:sz w:val="20"/>
                <w:szCs w:val="20"/>
                <w:color w:val="auto"/>
              </w:rPr>
            </w:pPr>
            <w:r>
              <w:rPr>
                <w:rFonts w:ascii="Arial" w:cs="Arial" w:eastAsia="Arial" w:hAnsi="Arial"/>
                <w:sz w:val="18"/>
                <w:szCs w:val="18"/>
                <w:color w:val="auto"/>
              </w:rPr>
              <w:t>Net income before income taxes</w:t>
            </w:r>
          </w:p>
        </w:tc>
        <w:tc>
          <w:tcPr>
            <w:tcW w:w="10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14.1</w:t>
            </w:r>
          </w:p>
        </w:tc>
        <w:tc>
          <w:tcPr>
            <w:tcW w:w="280" w:type="dxa"/>
            <w:vAlign w:val="bottom"/>
            <w:shd w:val="clear" w:color="auto" w:fill="C0C0C0"/>
          </w:tcPr>
          <w:p>
            <w:pPr>
              <w:spacing w:after="0"/>
              <w:rPr>
                <w:sz w:val="21"/>
                <w:szCs w:val="21"/>
                <w:color w:val="auto"/>
              </w:rPr>
            </w:pPr>
          </w:p>
        </w:tc>
        <w:tc>
          <w:tcPr>
            <w:tcW w:w="102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1.4</w:t>
            </w:r>
          </w:p>
        </w:tc>
      </w:tr>
      <w:tr>
        <w:trPr>
          <w:trHeight w:val="237"/>
        </w:trPr>
        <w:tc>
          <w:tcPr>
            <w:tcW w:w="6820" w:type="dxa"/>
            <w:vAlign w:val="bottom"/>
            <w:tcBorders>
              <w:bottom w:val="single" w:sz="8" w:color="C0C0C0"/>
            </w:tcBorders>
          </w:tcPr>
          <w:p>
            <w:pPr>
              <w:spacing w:after="0"/>
              <w:rPr>
                <w:sz w:val="20"/>
                <w:szCs w:val="20"/>
                <w:color w:val="auto"/>
              </w:rPr>
            </w:pPr>
            <w:r>
              <w:rPr>
                <w:rFonts w:ascii="Arial" w:cs="Arial" w:eastAsia="Arial" w:hAnsi="Arial"/>
                <w:sz w:val="18"/>
                <w:szCs w:val="18"/>
                <w:color w:val="auto"/>
              </w:rPr>
              <w:t>Income tax provision</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280" w:type="dxa"/>
            <w:vAlign w:val="bottom"/>
            <w:tcBorders>
              <w:bottom w:val="single" w:sz="8" w:color="C0C0C0"/>
            </w:tcBorders>
          </w:tcPr>
          <w:p>
            <w:pPr>
              <w:spacing w:after="0"/>
              <w:rPr>
                <w:sz w:val="20"/>
                <w:szCs w:val="20"/>
                <w:color w:val="auto"/>
              </w:rPr>
            </w:pP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w:t>
            </w:r>
          </w:p>
        </w:tc>
      </w:tr>
      <w:tr>
        <w:trPr>
          <w:trHeight w:val="243"/>
        </w:trPr>
        <w:tc>
          <w:tcPr>
            <w:tcW w:w="6820" w:type="dxa"/>
            <w:vAlign w:val="bottom"/>
            <w:shd w:val="clear" w:color="auto" w:fill="C0C0C0"/>
          </w:tcPr>
          <w:p>
            <w:pPr>
              <w:spacing w:after="0"/>
              <w:rPr>
                <w:sz w:val="20"/>
                <w:szCs w:val="20"/>
                <w:color w:val="auto"/>
              </w:rPr>
            </w:pPr>
            <w:r>
              <w:rPr>
                <w:rFonts w:ascii="Arial" w:cs="Arial" w:eastAsia="Arial" w:hAnsi="Arial"/>
                <w:sz w:val="18"/>
                <w:szCs w:val="18"/>
                <w:color w:val="auto"/>
              </w:rPr>
              <w:t>Net income</w:t>
            </w:r>
          </w:p>
        </w:tc>
        <w:tc>
          <w:tcPr>
            <w:tcW w:w="10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11.2</w:t>
            </w:r>
          </w:p>
        </w:tc>
        <w:tc>
          <w:tcPr>
            <w:tcW w:w="280" w:type="dxa"/>
            <w:vAlign w:val="bottom"/>
            <w:shd w:val="clear" w:color="auto" w:fill="C0C0C0"/>
          </w:tcPr>
          <w:p>
            <w:pPr>
              <w:spacing w:after="0"/>
              <w:rPr>
                <w:sz w:val="21"/>
                <w:szCs w:val="21"/>
                <w:color w:val="auto"/>
              </w:rPr>
            </w:pPr>
          </w:p>
        </w:tc>
        <w:tc>
          <w:tcPr>
            <w:tcW w:w="102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0.4</w:t>
            </w:r>
          </w:p>
        </w:tc>
      </w:tr>
      <w:tr>
        <w:trPr>
          <w:trHeight w:val="237"/>
        </w:trPr>
        <w:tc>
          <w:tcPr>
            <w:tcW w:w="6820" w:type="dxa"/>
            <w:vAlign w:val="bottom"/>
            <w:tcBorders>
              <w:bottom w:val="single" w:sz="8" w:color="C0C0C0"/>
            </w:tcBorders>
          </w:tcPr>
          <w:p>
            <w:pPr>
              <w:spacing w:after="0"/>
              <w:rPr>
                <w:sz w:val="20"/>
                <w:szCs w:val="20"/>
                <w:color w:val="auto"/>
              </w:rPr>
            </w:pPr>
            <w:r>
              <w:rPr>
                <w:rFonts w:ascii="Arial" w:cs="Arial" w:eastAsia="Arial" w:hAnsi="Arial"/>
                <w:sz w:val="18"/>
                <w:szCs w:val="18"/>
                <w:color w:val="auto"/>
              </w:rPr>
              <w:t>Net income attributable to noncontrolling interests</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80" w:type="dxa"/>
            <w:vAlign w:val="bottom"/>
            <w:tcBorders>
              <w:bottom w:val="single" w:sz="8" w:color="C0C0C0"/>
            </w:tcBorders>
          </w:tcPr>
          <w:p>
            <w:pPr>
              <w:spacing w:after="0"/>
              <w:rPr>
                <w:sz w:val="20"/>
                <w:szCs w:val="20"/>
                <w:color w:val="auto"/>
              </w:rPr>
            </w:pP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(0.2)</w:t>
            </w:r>
          </w:p>
        </w:tc>
      </w:tr>
      <w:tr>
        <w:trPr>
          <w:trHeight w:val="250"/>
        </w:trPr>
        <w:tc>
          <w:tcPr>
            <w:tcW w:w="682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8"/>
                <w:szCs w:val="18"/>
                <w:color w:val="auto"/>
              </w:rPr>
              <w:t>Net income attributable to Photronics, Inc.</w:t>
            </w:r>
          </w:p>
        </w:tc>
        <w:tc>
          <w:tcPr>
            <w:tcW w:w="10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10.0%</w:t>
            </w:r>
          </w:p>
        </w:tc>
        <w:tc>
          <w:tcPr>
            <w:tcW w:w="280" w:type="dxa"/>
            <w:vAlign w:val="bottom"/>
            <w:tcBorders>
              <w:bottom w:val="single" w:sz="8" w:color="C0C0C0"/>
            </w:tcBorders>
            <w:shd w:val="clear" w:color="auto" w:fill="C0C0C0"/>
          </w:tcPr>
          <w:p>
            <w:pPr>
              <w:spacing w:after="0"/>
              <w:rPr>
                <w:sz w:val="21"/>
                <w:szCs w:val="21"/>
                <w:color w:val="auto"/>
              </w:rPr>
            </w:pPr>
          </w:p>
        </w:tc>
        <w:tc>
          <w:tcPr>
            <w:tcW w:w="10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0.2%</w:t>
            </w:r>
          </w:p>
        </w:tc>
      </w:tr>
    </w:tbl>
    <w:p>
      <w:pPr>
        <w:spacing w:after="0" w:line="262" w:lineRule="exact"/>
        <w:rPr>
          <w:sz w:val="20"/>
          <w:szCs w:val="20"/>
          <w:color w:val="auto"/>
        </w:rPr>
      </w:pPr>
    </w:p>
    <w:p>
      <w:pPr>
        <w:ind w:right="180" w:firstLine="270"/>
        <w:spacing w:after="0" w:line="268" w:lineRule="auto"/>
        <w:rPr>
          <w:sz w:val="20"/>
          <w:szCs w:val="20"/>
          <w:color w:val="auto"/>
        </w:rPr>
      </w:pPr>
      <w:r>
        <w:rPr>
          <w:rFonts w:ascii="Arial" w:cs="Arial" w:eastAsia="Arial" w:hAnsi="Arial"/>
          <w:sz w:val="18"/>
          <w:szCs w:val="18"/>
          <w:color w:val="auto"/>
        </w:rPr>
        <w:t>Note: All of the following tabular comparisons, unless otherwise indicated, are for the three months ended January 30, 2011 (Q1-11) and January 31, 2010 (Q1-10) in millions of dollars.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800" w:type="dxa"/>
            <w:vAlign w:val="bottom"/>
          </w:tcPr>
          <w:p>
            <w:pPr>
              <w:spacing w:after="0"/>
              <w:rPr>
                <w:sz w:val="20"/>
                <w:szCs w:val="20"/>
                <w:color w:val="auto"/>
              </w:rPr>
            </w:pPr>
            <w:r>
              <w:rPr>
                <w:rFonts w:ascii="Arial" w:cs="Arial" w:eastAsia="Arial" w:hAnsi="Arial"/>
                <w:sz w:val="18"/>
                <w:szCs w:val="18"/>
                <w:b w:val="1"/>
                <w:bCs w:val="1"/>
                <w:i w:val="1"/>
                <w:iCs w:val="1"/>
                <w:color w:val="auto"/>
              </w:rPr>
              <w:t>Net Sales</w:t>
            </w:r>
          </w:p>
        </w:tc>
        <w:tc>
          <w:tcPr>
            <w:tcW w:w="2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482"/>
        </w:trPr>
        <w:tc>
          <w:tcPr>
            <w:tcW w:w="38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62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w w:val="88"/>
              </w:rPr>
              <w:t>Three Months Ended</w:t>
            </w: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28"/>
        </w:trPr>
        <w:tc>
          <w:tcPr>
            <w:tcW w:w="380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w w:val="90"/>
              </w:rPr>
              <w:t>Percent</w:t>
            </w:r>
          </w:p>
        </w:tc>
      </w:tr>
      <w:tr>
        <w:trPr>
          <w:trHeight w:val="252"/>
        </w:trPr>
        <w:tc>
          <w:tcPr>
            <w:tcW w:w="3800" w:type="dxa"/>
            <w:vAlign w:val="bottom"/>
            <w:tcBorders>
              <w:bottom w:val="single" w:sz="8" w:color="C0C0C0"/>
            </w:tcBorders>
          </w:tcPr>
          <w:p>
            <w:pPr>
              <w:spacing w:after="0"/>
              <w:rPr>
                <w:sz w:val="21"/>
                <w:szCs w:val="21"/>
                <w:color w:val="auto"/>
              </w:rPr>
            </w:pPr>
          </w:p>
        </w:tc>
        <w:tc>
          <w:tcPr>
            <w:tcW w:w="2780" w:type="dxa"/>
            <w:vAlign w:val="bottom"/>
            <w:tcBorders>
              <w:bottom w:val="single" w:sz="8" w:color="C0C0C0"/>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Q1-11</w:t>
            </w:r>
          </w:p>
        </w:tc>
        <w:tc>
          <w:tcPr>
            <w:tcW w:w="140" w:type="dxa"/>
            <w:vAlign w:val="bottom"/>
            <w:tcBorders>
              <w:bottom w:val="single" w:sz="8" w:color="C0C0C0"/>
            </w:tcBorders>
          </w:tcPr>
          <w:p>
            <w:pPr>
              <w:spacing w:after="0"/>
              <w:rPr>
                <w:sz w:val="21"/>
                <w:szCs w:val="21"/>
                <w:color w:val="auto"/>
              </w:rPr>
            </w:pPr>
          </w:p>
        </w:tc>
        <w:tc>
          <w:tcPr>
            <w:tcW w:w="140" w:type="dxa"/>
            <w:vAlign w:val="bottom"/>
            <w:tcBorders>
              <w:bottom w:val="single" w:sz="8" w:color="C0C0C0"/>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91"/>
              </w:rPr>
              <w:t>Q1-10</w:t>
            </w:r>
          </w:p>
        </w:tc>
        <w:tc>
          <w:tcPr>
            <w:tcW w:w="260" w:type="dxa"/>
            <w:vAlign w:val="bottom"/>
            <w:tcBorders>
              <w:bottom w:val="single" w:sz="8" w:color="C0C0C0"/>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Change</w:t>
            </w:r>
          </w:p>
        </w:tc>
      </w:tr>
      <w:tr>
        <w:trPr>
          <w:trHeight w:val="243"/>
        </w:trPr>
        <w:tc>
          <w:tcPr>
            <w:tcW w:w="3800" w:type="dxa"/>
            <w:vAlign w:val="bottom"/>
            <w:shd w:val="clear" w:color="auto" w:fill="C0C0C0"/>
          </w:tcPr>
          <w:p>
            <w:pPr>
              <w:spacing w:after="0"/>
              <w:rPr>
                <w:sz w:val="20"/>
                <w:szCs w:val="20"/>
                <w:color w:val="auto"/>
              </w:rPr>
            </w:pPr>
            <w:r>
              <w:rPr>
                <w:rFonts w:ascii="Arial" w:cs="Arial" w:eastAsia="Arial" w:hAnsi="Arial"/>
                <w:sz w:val="18"/>
                <w:szCs w:val="18"/>
                <w:color w:val="auto"/>
              </w:rPr>
              <w:t>IC</w:t>
            </w:r>
          </w:p>
        </w:tc>
        <w:tc>
          <w:tcPr>
            <w:tcW w:w="288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88.8</w:t>
            </w:r>
          </w:p>
        </w:tc>
        <w:tc>
          <w:tcPr>
            <w:tcW w:w="22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74.5</w:t>
            </w:r>
          </w:p>
        </w:tc>
        <w:tc>
          <w:tcPr>
            <w:tcW w:w="94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19.2%</w:t>
            </w:r>
          </w:p>
        </w:tc>
      </w:tr>
      <w:tr>
        <w:trPr>
          <w:trHeight w:val="235"/>
        </w:trPr>
        <w:tc>
          <w:tcPr>
            <w:tcW w:w="3800" w:type="dxa"/>
            <w:vAlign w:val="bottom"/>
          </w:tcPr>
          <w:p>
            <w:pPr>
              <w:spacing w:after="0"/>
              <w:rPr>
                <w:sz w:val="20"/>
                <w:szCs w:val="20"/>
                <w:color w:val="auto"/>
              </w:rPr>
            </w:pPr>
            <w:r>
              <w:rPr>
                <w:rFonts w:ascii="Arial" w:cs="Arial" w:eastAsia="Arial" w:hAnsi="Arial"/>
                <w:sz w:val="18"/>
                <w:szCs w:val="18"/>
                <w:color w:val="auto"/>
              </w:rPr>
              <w:t>FPD</w:t>
            </w:r>
          </w:p>
        </w:tc>
        <w:tc>
          <w:tcPr>
            <w:tcW w:w="2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32.0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23.7</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35.1%</w:t>
            </w:r>
          </w:p>
        </w:tc>
      </w:tr>
      <w:tr>
        <w:trPr>
          <w:trHeight w:val="21"/>
        </w:trPr>
        <w:tc>
          <w:tcPr>
            <w:tcW w:w="3800" w:type="dxa"/>
            <w:vAlign w:val="bottom"/>
            <w:shd w:val="clear" w:color="auto" w:fill="C0C0C0"/>
          </w:tcPr>
          <w:p>
            <w:pPr>
              <w:spacing w:after="0" w:line="20" w:lineRule="exact"/>
              <w:rPr>
                <w:sz w:val="1"/>
                <w:szCs w:val="1"/>
                <w:color w:val="auto"/>
              </w:rPr>
            </w:pPr>
          </w:p>
        </w:tc>
        <w:tc>
          <w:tcPr>
            <w:tcW w:w="2780" w:type="dxa"/>
            <w:vAlign w:val="bottom"/>
            <w:shd w:val="clear" w:color="auto" w:fill="C0C0C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0C0C0"/>
          </w:tcPr>
          <w:p>
            <w:pPr>
              <w:spacing w:after="0" w:line="20" w:lineRule="exact"/>
              <w:rPr>
                <w:sz w:val="1"/>
                <w:szCs w:val="1"/>
                <w:color w:val="auto"/>
              </w:rPr>
            </w:pPr>
          </w:p>
        </w:tc>
        <w:tc>
          <w:tcPr>
            <w:tcW w:w="140" w:type="dxa"/>
            <w:vAlign w:val="bottom"/>
            <w:shd w:val="clear" w:color="auto" w:fill="C0C0C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shd w:val="clear" w:color="auto" w:fill="C0C0C0"/>
          </w:tcPr>
          <w:p>
            <w:pPr>
              <w:spacing w:after="0" w:line="20" w:lineRule="exact"/>
              <w:rPr>
                <w:sz w:val="1"/>
                <w:szCs w:val="1"/>
                <w:color w:val="auto"/>
              </w:rPr>
            </w:pPr>
          </w:p>
        </w:tc>
        <w:tc>
          <w:tcPr>
            <w:tcW w:w="680" w:type="dxa"/>
            <w:vAlign w:val="bottom"/>
            <w:shd w:val="clear" w:color="auto" w:fill="C0C0C0"/>
          </w:tcPr>
          <w:p>
            <w:pPr>
              <w:spacing w:after="0" w:line="20" w:lineRule="exact"/>
              <w:rPr>
                <w:sz w:val="1"/>
                <w:szCs w:val="1"/>
                <w:color w:val="auto"/>
              </w:rPr>
            </w:pPr>
          </w:p>
        </w:tc>
      </w:tr>
      <w:tr>
        <w:trPr>
          <w:trHeight w:val="242"/>
        </w:trPr>
        <w:tc>
          <w:tcPr>
            <w:tcW w:w="3800" w:type="dxa"/>
            <w:vAlign w:val="bottom"/>
            <w:shd w:val="clear" w:color="auto" w:fill="C0C0C0"/>
          </w:tcPr>
          <w:p>
            <w:pPr>
              <w:spacing w:after="0"/>
              <w:rPr>
                <w:sz w:val="20"/>
                <w:szCs w:val="20"/>
                <w:color w:val="auto"/>
              </w:rPr>
            </w:pPr>
            <w:r>
              <w:rPr>
                <w:rFonts w:ascii="Arial" w:cs="Arial" w:eastAsia="Arial" w:hAnsi="Arial"/>
                <w:sz w:val="18"/>
                <w:szCs w:val="18"/>
                <w:color w:val="auto"/>
              </w:rPr>
              <w:t>Total net sales</w:t>
            </w:r>
          </w:p>
        </w:tc>
        <w:tc>
          <w:tcPr>
            <w:tcW w:w="2780" w:type="dxa"/>
            <w:vAlign w:val="bottom"/>
            <w:shd w:val="clear" w:color="auto" w:fill="C0C0C0"/>
          </w:tcPr>
          <w:p>
            <w:pPr>
              <w:spacing w:after="0"/>
              <w:rPr>
                <w:sz w:val="21"/>
                <w:szCs w:val="21"/>
                <w:color w:val="auto"/>
              </w:rPr>
            </w:pPr>
          </w:p>
        </w:tc>
        <w:tc>
          <w:tcPr>
            <w:tcW w:w="10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120.8</w:t>
            </w:r>
          </w:p>
        </w:tc>
        <w:tc>
          <w:tcPr>
            <w:tcW w:w="22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98.2</w:t>
            </w:r>
          </w:p>
        </w:tc>
        <w:tc>
          <w:tcPr>
            <w:tcW w:w="94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23.0%</w:t>
            </w:r>
          </w:p>
        </w:tc>
      </w:tr>
      <w:tr>
        <w:trPr>
          <w:trHeight w:val="28"/>
        </w:trPr>
        <w:tc>
          <w:tcPr>
            <w:tcW w:w="3800" w:type="dxa"/>
            <w:vAlign w:val="bottom"/>
            <w:shd w:val="clear" w:color="auto" w:fill="C0C0C0"/>
          </w:tcPr>
          <w:p>
            <w:pPr>
              <w:spacing w:after="0"/>
              <w:rPr>
                <w:sz w:val="2"/>
                <w:szCs w:val="2"/>
                <w:color w:val="auto"/>
              </w:rPr>
            </w:pPr>
          </w:p>
        </w:tc>
        <w:tc>
          <w:tcPr>
            <w:tcW w:w="2780" w:type="dxa"/>
            <w:vAlign w:val="bottom"/>
            <w:shd w:val="clear" w:color="auto" w:fill="C0C0C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shd w:val="clear" w:color="auto" w:fill="C0C0C0"/>
          </w:tcPr>
          <w:p>
            <w:pPr>
              <w:spacing w:after="0"/>
              <w:rPr>
                <w:sz w:val="2"/>
                <w:szCs w:val="2"/>
                <w:color w:val="auto"/>
              </w:rPr>
            </w:pPr>
          </w:p>
        </w:tc>
        <w:tc>
          <w:tcPr>
            <w:tcW w:w="140" w:type="dxa"/>
            <w:vAlign w:val="bottom"/>
            <w:shd w:val="clear" w:color="auto" w:fill="C0C0C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shd w:val="clear" w:color="auto" w:fill="C0C0C0"/>
          </w:tcPr>
          <w:p>
            <w:pPr>
              <w:spacing w:after="0"/>
              <w:rPr>
                <w:sz w:val="2"/>
                <w:szCs w:val="2"/>
                <w:color w:val="auto"/>
              </w:rPr>
            </w:pPr>
          </w:p>
        </w:tc>
        <w:tc>
          <w:tcPr>
            <w:tcW w:w="680" w:type="dxa"/>
            <w:vAlign w:val="bottom"/>
            <w:shd w:val="clear" w:color="auto" w:fill="C0C0C0"/>
          </w:tcPr>
          <w:p>
            <w:pPr>
              <w:spacing w:after="0"/>
              <w:rPr>
                <w:sz w:val="2"/>
                <w:szCs w:val="2"/>
                <w:color w:val="auto"/>
              </w:rPr>
            </w:pPr>
          </w:p>
        </w:tc>
      </w:tr>
    </w:tbl>
    <w:p>
      <w:pPr>
        <w:spacing w:after="0" w:line="262" w:lineRule="exact"/>
        <w:rPr>
          <w:sz w:val="20"/>
          <w:szCs w:val="20"/>
          <w:color w:val="auto"/>
        </w:rPr>
      </w:pPr>
    </w:p>
    <w:p>
      <w:pPr>
        <w:ind w:firstLine="270"/>
        <w:spacing w:after="0" w:line="290" w:lineRule="auto"/>
        <w:rPr>
          <w:sz w:val="20"/>
          <w:szCs w:val="20"/>
          <w:color w:val="auto"/>
        </w:rPr>
      </w:pPr>
      <w:r>
        <w:rPr>
          <w:rFonts w:ascii="Arial" w:cs="Arial" w:eastAsia="Arial" w:hAnsi="Arial"/>
          <w:sz w:val="16"/>
          <w:szCs w:val="16"/>
          <w:color w:val="auto"/>
        </w:rPr>
        <w:t>Net sales for Q1-11 increased 23.0% to $120.8 million as compared to $98.2 million for Q1-10. The increase was due to increases in both IC and FPD photomask sales, primarily as a result of increased high-end unit demand, which typically have higher average selling prices (ASPs). To a lesser extent, mainstream IC photomasks also had increased sales. Revenues attributable to high-end products increased by $14.9 million to $39.2 million in Q1-11 as compared to $24.3 million in Q1-10. High-end photomask applications include mask sets for 65 nanometer and below for IC products and G7 and above technologies for FPD products. By geographic area, net sales increased in Asia in Q1-11, as compared to Q1-10, $17.9 million or 29.4%, increased in North America by $3.5 million or 12.5%, and increased in Europe by $1.2 million or 13.1%. As a percent of total net sales, net sales in Q1-11 in Asia were 65%, North America 26%, and Europe 9%; and net sales in Q1-10 in Asia were 62%, North America 28%, and Europe 10%.</w:t>
      </w:r>
    </w:p>
    <w:p>
      <w:pPr>
        <w:spacing w:after="0" w:line="1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20"/>
          </w:cols>
          <w:pgMar w:left="240" w:top="61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260" w:lineRule="exact"/>
        <w:rPr>
          <w:sz w:val="20"/>
          <w:szCs w:val="20"/>
          <w:color w:val="auto"/>
        </w:rPr>
      </w:pPr>
    </w:p>
    <w:p>
      <w:pPr>
        <w:ind w:left="6520"/>
        <w:spacing w:after="0"/>
        <w:rPr>
          <w:sz w:val="20"/>
          <w:szCs w:val="20"/>
          <w:color w:val="auto"/>
        </w:rPr>
      </w:pPr>
      <w:r>
        <w:rPr>
          <w:rFonts w:ascii="Arial" w:cs="Arial" w:eastAsia="Arial" w:hAnsi="Arial"/>
          <w:sz w:val="18"/>
          <w:szCs w:val="18"/>
          <w:b w:val="1"/>
          <w:bCs w:val="1"/>
          <w:color w:val="auto"/>
        </w:rPr>
        <w:t>Three Months Ended</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6460" w:type="dxa"/>
            <w:vAlign w:val="bottom"/>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ind w:left="60"/>
              <w:spacing w:after="0"/>
              <w:rPr>
                <w:sz w:val="20"/>
                <w:szCs w:val="20"/>
                <w:color w:val="auto"/>
              </w:rPr>
            </w:pPr>
            <w:r>
              <w:rPr>
                <w:rFonts w:ascii="Arial" w:cs="Arial" w:eastAsia="Arial" w:hAnsi="Arial"/>
                <w:sz w:val="18"/>
                <w:szCs w:val="18"/>
                <w:b w:val="1"/>
                <w:bCs w:val="1"/>
                <w:color w:val="auto"/>
                <w:w w:val="90"/>
              </w:rPr>
              <w:t>Percent</w:t>
            </w:r>
          </w:p>
        </w:tc>
      </w:tr>
      <w:tr>
        <w:trPr>
          <w:trHeight w:val="240"/>
        </w:trPr>
        <w:tc>
          <w:tcPr>
            <w:tcW w:w="646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Q1-11</w:t>
            </w: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Q1-10</w:t>
            </w:r>
          </w:p>
        </w:tc>
        <w:tc>
          <w:tcPr>
            <w:tcW w:w="680" w:type="dxa"/>
            <w:vAlign w:val="bottom"/>
          </w:tcPr>
          <w:p>
            <w:pPr>
              <w:ind w:left="60"/>
              <w:spacing w:after="0"/>
              <w:rPr>
                <w:sz w:val="20"/>
                <w:szCs w:val="20"/>
                <w:color w:val="auto"/>
              </w:rPr>
            </w:pPr>
            <w:r>
              <w:rPr>
                <w:rFonts w:ascii="Arial" w:cs="Arial" w:eastAsia="Arial" w:hAnsi="Arial"/>
                <w:sz w:val="18"/>
                <w:szCs w:val="18"/>
                <w:b w:val="1"/>
                <w:bCs w:val="1"/>
                <w:color w:val="auto"/>
                <w:w w:val="90"/>
              </w:rPr>
              <w:t>Change</w:t>
            </w:r>
          </w:p>
        </w:tc>
      </w:tr>
      <w:tr>
        <w:trPr>
          <w:trHeight w:val="243"/>
        </w:trPr>
        <w:tc>
          <w:tcPr>
            <w:tcW w:w="6460" w:type="dxa"/>
            <w:vAlign w:val="bottom"/>
            <w:tcBorders>
              <w:top w:val="single" w:sz="8" w:color="C0C0C0"/>
            </w:tcBorders>
            <w:shd w:val="clear" w:color="auto" w:fill="C0C0C0"/>
          </w:tcPr>
          <w:p>
            <w:pPr>
              <w:spacing w:after="0"/>
              <w:rPr>
                <w:sz w:val="20"/>
                <w:szCs w:val="20"/>
                <w:color w:val="auto"/>
              </w:rPr>
            </w:pPr>
            <w:r>
              <w:rPr>
                <w:rFonts w:ascii="Arial" w:cs="Arial" w:eastAsia="Arial" w:hAnsi="Arial"/>
                <w:sz w:val="18"/>
                <w:szCs w:val="18"/>
                <w:color w:val="auto"/>
              </w:rPr>
              <w:t>Gross margin</w:t>
            </w:r>
          </w:p>
        </w:tc>
        <w:tc>
          <w:tcPr>
            <w:tcW w:w="740" w:type="dxa"/>
            <w:vAlign w:val="bottom"/>
            <w:tcBorders>
              <w:top w:val="single" w:sz="8" w:color="auto"/>
            </w:tcBorders>
            <w:shd w:val="clear" w:color="auto" w:fill="C0C0C0"/>
          </w:tcPr>
          <w:p>
            <w:pPr>
              <w:jc w:val="right"/>
              <w:ind w:right="72"/>
              <w:spacing w:after="0"/>
              <w:rPr>
                <w:sz w:val="20"/>
                <w:szCs w:val="20"/>
                <w:color w:val="auto"/>
              </w:rPr>
            </w:pPr>
            <w:r>
              <w:rPr>
                <w:rFonts w:ascii="Arial" w:cs="Arial" w:eastAsia="Arial" w:hAnsi="Arial"/>
                <w:sz w:val="18"/>
                <w:szCs w:val="18"/>
                <w:color w:val="auto"/>
              </w:rPr>
              <w:t>$  30.6</w:t>
            </w:r>
          </w:p>
        </w:tc>
        <w:tc>
          <w:tcPr>
            <w:tcW w:w="260" w:type="dxa"/>
            <w:vAlign w:val="bottom"/>
            <w:tcBorders>
              <w:top w:val="single" w:sz="8" w:color="C0C0C0"/>
            </w:tcBorders>
            <w:shd w:val="clear" w:color="auto" w:fill="C0C0C0"/>
          </w:tcPr>
          <w:p>
            <w:pPr>
              <w:spacing w:after="0"/>
              <w:rPr>
                <w:sz w:val="21"/>
                <w:szCs w:val="21"/>
                <w:color w:val="auto"/>
              </w:rPr>
            </w:pPr>
          </w:p>
        </w:tc>
        <w:tc>
          <w:tcPr>
            <w:tcW w:w="740" w:type="dxa"/>
            <w:vAlign w:val="bottom"/>
            <w:tcBorders>
              <w:top w:val="single" w:sz="8" w:color="auto"/>
            </w:tcBorders>
            <w:shd w:val="clear" w:color="auto" w:fill="C0C0C0"/>
          </w:tcPr>
          <w:p>
            <w:pPr>
              <w:jc w:val="right"/>
              <w:ind w:right="72"/>
              <w:spacing w:after="0"/>
              <w:rPr>
                <w:sz w:val="20"/>
                <w:szCs w:val="20"/>
                <w:color w:val="auto"/>
              </w:rPr>
            </w:pPr>
            <w:r>
              <w:rPr>
                <w:rFonts w:ascii="Arial" w:cs="Arial" w:eastAsia="Arial" w:hAnsi="Arial"/>
                <w:sz w:val="18"/>
                <w:szCs w:val="18"/>
                <w:color w:val="auto"/>
              </w:rPr>
              <w:t>$  18.2</w:t>
            </w:r>
          </w:p>
        </w:tc>
        <w:tc>
          <w:tcPr>
            <w:tcW w:w="260" w:type="dxa"/>
            <w:vAlign w:val="bottom"/>
            <w:tcBorders>
              <w:top w:val="single" w:sz="8" w:color="C0C0C0"/>
            </w:tcBorders>
            <w:shd w:val="clear" w:color="auto" w:fill="C0C0C0"/>
          </w:tcPr>
          <w:p>
            <w:pPr>
              <w:spacing w:after="0"/>
              <w:rPr>
                <w:sz w:val="21"/>
                <w:szCs w:val="21"/>
                <w:color w:val="auto"/>
              </w:rPr>
            </w:pPr>
          </w:p>
        </w:tc>
        <w:tc>
          <w:tcPr>
            <w:tcW w:w="680" w:type="dxa"/>
            <w:vAlign w:val="bottom"/>
            <w:tcBorders>
              <w:top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68.3%</w:t>
            </w:r>
          </w:p>
        </w:tc>
      </w:tr>
      <w:tr>
        <w:trPr>
          <w:trHeight w:val="228"/>
        </w:trPr>
        <w:tc>
          <w:tcPr>
            <w:tcW w:w="6460" w:type="dxa"/>
            <w:vAlign w:val="bottom"/>
          </w:tcPr>
          <w:p>
            <w:pPr>
              <w:spacing w:after="0"/>
              <w:rPr>
                <w:sz w:val="20"/>
                <w:szCs w:val="20"/>
                <w:color w:val="auto"/>
              </w:rPr>
            </w:pPr>
            <w:r>
              <w:rPr>
                <w:rFonts w:ascii="Arial" w:cs="Arial" w:eastAsia="Arial" w:hAnsi="Arial"/>
                <w:sz w:val="18"/>
                <w:szCs w:val="18"/>
                <w:color w:val="auto"/>
              </w:rPr>
              <w:t>Percentage of net sales</w:t>
            </w:r>
          </w:p>
        </w:tc>
        <w:tc>
          <w:tcPr>
            <w:tcW w:w="740" w:type="dxa"/>
            <w:vAlign w:val="bottom"/>
          </w:tcPr>
          <w:p>
            <w:pPr>
              <w:jc w:val="right"/>
              <w:spacing w:after="0"/>
              <w:rPr>
                <w:sz w:val="20"/>
                <w:szCs w:val="20"/>
                <w:color w:val="auto"/>
              </w:rPr>
            </w:pPr>
            <w:r>
              <w:rPr>
                <w:rFonts w:ascii="Arial" w:cs="Arial" w:eastAsia="Arial" w:hAnsi="Arial"/>
                <w:sz w:val="18"/>
                <w:szCs w:val="18"/>
                <w:color w:val="auto"/>
              </w:rPr>
              <w:t>25.3%</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18.5%</w:t>
            </w: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r>
    </w:tbl>
    <w:p>
      <w:pPr>
        <w:spacing w:after="0" w:line="277" w:lineRule="exact"/>
        <w:rPr>
          <w:sz w:val="20"/>
          <w:szCs w:val="20"/>
          <w:color w:val="auto"/>
        </w:rPr>
      </w:pPr>
    </w:p>
    <w:p>
      <w:pPr>
        <w:ind w:right="120" w:firstLine="270"/>
        <w:spacing w:after="0" w:line="306" w:lineRule="auto"/>
        <w:rPr>
          <w:sz w:val="20"/>
          <w:szCs w:val="20"/>
          <w:color w:val="auto"/>
        </w:rPr>
      </w:pPr>
      <w:r>
        <w:rPr>
          <w:rFonts w:ascii="Arial" w:cs="Arial" w:eastAsia="Arial" w:hAnsi="Arial"/>
          <w:sz w:val="16"/>
          <w:szCs w:val="16"/>
          <w:color w:val="auto"/>
        </w:rPr>
        <w:t>Gross margin percentage increased to 25.3% in Q1-11 as compared to 18.5% in Q1-10 as a result of increased FPD and IC sales, as well as increased sales in all geographic regions, including increased high-end sales which have higher ASPs. The Company operates in a high fixed cost environment and, to the extent that the Company's revenues and utilization increase or decrease, gross margin will generally be positively or negatively impacted.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540" w:type="dxa"/>
            <w:vAlign w:val="bottom"/>
          </w:tcPr>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482"/>
        </w:trPr>
        <w:tc>
          <w:tcPr>
            <w:tcW w:w="6540" w:type="dxa"/>
            <w:vAlign w:val="bottom"/>
          </w:tcPr>
          <w:p>
            <w:pPr>
              <w:spacing w:after="0"/>
              <w:rPr>
                <w:sz w:val="24"/>
                <w:szCs w:val="24"/>
                <w:color w:val="auto"/>
              </w:rPr>
            </w:pPr>
          </w:p>
        </w:tc>
        <w:tc>
          <w:tcPr>
            <w:tcW w:w="2000" w:type="dxa"/>
            <w:vAlign w:val="bottom"/>
            <w:gridSpan w:val="4"/>
          </w:tcPr>
          <w:p>
            <w:pPr>
              <w:ind w:left="80"/>
              <w:spacing w:after="0"/>
              <w:rPr>
                <w:sz w:val="20"/>
                <w:szCs w:val="20"/>
                <w:color w:val="auto"/>
              </w:rPr>
            </w:pPr>
            <w:r>
              <w:rPr>
                <w:rFonts w:ascii="Arial" w:cs="Arial" w:eastAsia="Arial" w:hAnsi="Arial"/>
                <w:sz w:val="18"/>
                <w:szCs w:val="18"/>
                <w:b w:val="1"/>
                <w:bCs w:val="1"/>
                <w:color w:val="auto"/>
              </w:rPr>
              <w:t>Three Months Ended</w:t>
            </w:r>
          </w:p>
        </w:tc>
        <w:tc>
          <w:tcPr>
            <w:tcW w:w="600" w:type="dxa"/>
            <w:vAlign w:val="bottom"/>
          </w:tcPr>
          <w:p>
            <w:pPr>
              <w:spacing w:after="0"/>
              <w:rPr>
                <w:sz w:val="24"/>
                <w:szCs w:val="24"/>
                <w:color w:val="auto"/>
              </w:rPr>
            </w:pPr>
          </w:p>
        </w:tc>
      </w:tr>
      <w:tr>
        <w:trPr>
          <w:trHeight w:val="228"/>
        </w:trPr>
        <w:tc>
          <w:tcPr>
            <w:tcW w:w="654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ind w:left="20"/>
              <w:spacing w:after="0"/>
              <w:rPr>
                <w:sz w:val="20"/>
                <w:szCs w:val="20"/>
                <w:color w:val="auto"/>
              </w:rPr>
            </w:pPr>
            <w:r>
              <w:rPr>
                <w:rFonts w:ascii="Arial" w:cs="Arial" w:eastAsia="Arial" w:hAnsi="Arial"/>
                <w:sz w:val="18"/>
                <w:szCs w:val="18"/>
                <w:b w:val="1"/>
                <w:bCs w:val="1"/>
                <w:color w:val="auto"/>
                <w:w w:val="84"/>
              </w:rPr>
              <w:t>Percent</w:t>
            </w:r>
          </w:p>
        </w:tc>
      </w:tr>
      <w:tr>
        <w:trPr>
          <w:trHeight w:val="252"/>
        </w:trPr>
        <w:tc>
          <w:tcPr>
            <w:tcW w:w="6540" w:type="dxa"/>
            <w:vAlign w:val="bottom"/>
          </w:tcPr>
          <w:p>
            <w:pPr>
              <w:spacing w:after="0"/>
              <w:rPr>
                <w:sz w:val="21"/>
                <w:szCs w:val="21"/>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Q1-11</w:t>
            </w: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Q1-10</w:t>
            </w:r>
          </w:p>
        </w:tc>
        <w:tc>
          <w:tcPr>
            <w:tcW w:w="600" w:type="dxa"/>
            <w:vAlign w:val="bottom"/>
          </w:tcPr>
          <w:p>
            <w:pPr>
              <w:ind w:left="20"/>
              <w:spacing w:after="0"/>
              <w:rPr>
                <w:sz w:val="20"/>
                <w:szCs w:val="20"/>
                <w:color w:val="auto"/>
              </w:rPr>
            </w:pPr>
            <w:r>
              <w:rPr>
                <w:rFonts w:ascii="Arial" w:cs="Arial" w:eastAsia="Arial" w:hAnsi="Arial"/>
                <w:sz w:val="18"/>
                <w:szCs w:val="18"/>
                <w:b w:val="1"/>
                <w:bCs w:val="1"/>
                <w:color w:val="auto"/>
                <w:w w:val="84"/>
              </w:rPr>
              <w:t>Change</w:t>
            </w:r>
          </w:p>
        </w:tc>
      </w:tr>
      <w:tr>
        <w:trPr>
          <w:trHeight w:val="243"/>
        </w:trPr>
        <w:tc>
          <w:tcPr>
            <w:tcW w:w="6540" w:type="dxa"/>
            <w:vAlign w:val="bottom"/>
            <w:tcBorders>
              <w:top w:val="single" w:sz="8" w:color="C0C0C0"/>
            </w:tcBorders>
            <w:shd w:val="clear" w:color="auto" w:fill="C0C0C0"/>
          </w:tcPr>
          <w:p>
            <w:pPr>
              <w:spacing w:after="0"/>
              <w:rPr>
                <w:sz w:val="20"/>
                <w:szCs w:val="20"/>
                <w:color w:val="auto"/>
              </w:rPr>
            </w:pPr>
            <w:r>
              <w:rPr>
                <w:rFonts w:ascii="Arial" w:cs="Arial" w:eastAsia="Arial" w:hAnsi="Arial"/>
                <w:sz w:val="18"/>
                <w:szCs w:val="18"/>
                <w:color w:val="auto"/>
              </w:rPr>
              <w:t>S, G &amp; A expenses</w:t>
            </w:r>
          </w:p>
        </w:tc>
        <w:tc>
          <w:tcPr>
            <w:tcW w:w="740" w:type="dxa"/>
            <w:vAlign w:val="bottom"/>
            <w:tcBorders>
              <w:top w:val="single" w:sz="8" w:color="auto"/>
            </w:tcBorders>
            <w:shd w:val="clear" w:color="auto" w:fill="C0C0C0"/>
          </w:tcPr>
          <w:p>
            <w:pPr>
              <w:jc w:val="right"/>
              <w:ind w:right="72"/>
              <w:spacing w:after="0"/>
              <w:rPr>
                <w:sz w:val="20"/>
                <w:szCs w:val="20"/>
                <w:color w:val="auto"/>
              </w:rPr>
            </w:pPr>
            <w:r>
              <w:rPr>
                <w:rFonts w:ascii="Arial" w:cs="Arial" w:eastAsia="Arial" w:hAnsi="Arial"/>
                <w:sz w:val="18"/>
                <w:szCs w:val="18"/>
                <w:color w:val="auto"/>
              </w:rPr>
              <w:t>$  10.7</w:t>
            </w:r>
          </w:p>
        </w:tc>
        <w:tc>
          <w:tcPr>
            <w:tcW w:w="260" w:type="dxa"/>
            <w:vAlign w:val="bottom"/>
            <w:tcBorders>
              <w:top w:val="single" w:sz="8" w:color="C0C0C0"/>
            </w:tcBorders>
            <w:shd w:val="clear" w:color="auto" w:fill="C0C0C0"/>
          </w:tcPr>
          <w:p>
            <w:pPr>
              <w:spacing w:after="0"/>
              <w:rPr>
                <w:sz w:val="21"/>
                <w:szCs w:val="21"/>
                <w:color w:val="auto"/>
              </w:rPr>
            </w:pPr>
          </w:p>
        </w:tc>
        <w:tc>
          <w:tcPr>
            <w:tcW w:w="740" w:type="dxa"/>
            <w:vAlign w:val="bottom"/>
            <w:tcBorders>
              <w:top w:val="single" w:sz="8" w:color="auto"/>
            </w:tcBorders>
            <w:shd w:val="clear" w:color="auto" w:fill="C0C0C0"/>
          </w:tcPr>
          <w:p>
            <w:pPr>
              <w:jc w:val="right"/>
              <w:ind w:right="72"/>
              <w:spacing w:after="0"/>
              <w:rPr>
                <w:sz w:val="20"/>
                <w:szCs w:val="20"/>
                <w:color w:val="auto"/>
              </w:rPr>
            </w:pPr>
            <w:r>
              <w:rPr>
                <w:rFonts w:ascii="Arial" w:cs="Arial" w:eastAsia="Arial" w:hAnsi="Arial"/>
                <w:sz w:val="18"/>
                <w:szCs w:val="18"/>
                <w:color w:val="auto"/>
              </w:rPr>
              <w:t>$  10.1</w:t>
            </w:r>
          </w:p>
        </w:tc>
        <w:tc>
          <w:tcPr>
            <w:tcW w:w="260" w:type="dxa"/>
            <w:vAlign w:val="bottom"/>
            <w:tcBorders>
              <w:top w:val="single" w:sz="8" w:color="C0C0C0"/>
            </w:tcBorders>
            <w:shd w:val="clear" w:color="auto" w:fill="C0C0C0"/>
          </w:tcPr>
          <w:p>
            <w:pPr>
              <w:spacing w:after="0"/>
              <w:rPr>
                <w:sz w:val="21"/>
                <w:szCs w:val="21"/>
                <w:color w:val="auto"/>
              </w:rPr>
            </w:pPr>
          </w:p>
        </w:tc>
        <w:tc>
          <w:tcPr>
            <w:tcW w:w="600" w:type="dxa"/>
            <w:vAlign w:val="bottom"/>
            <w:tcBorders>
              <w:top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5.6%</w:t>
            </w:r>
          </w:p>
        </w:tc>
      </w:tr>
      <w:tr>
        <w:trPr>
          <w:trHeight w:val="228"/>
        </w:trPr>
        <w:tc>
          <w:tcPr>
            <w:tcW w:w="6540" w:type="dxa"/>
            <w:vAlign w:val="bottom"/>
          </w:tcPr>
          <w:p>
            <w:pPr>
              <w:spacing w:after="0"/>
              <w:rPr>
                <w:sz w:val="20"/>
                <w:szCs w:val="20"/>
                <w:color w:val="auto"/>
              </w:rPr>
            </w:pPr>
            <w:r>
              <w:rPr>
                <w:rFonts w:ascii="Arial" w:cs="Arial" w:eastAsia="Arial" w:hAnsi="Arial"/>
                <w:sz w:val="18"/>
                <w:szCs w:val="18"/>
                <w:color w:val="auto"/>
              </w:rPr>
              <w:t>Percentage of net sales</w:t>
            </w:r>
          </w:p>
        </w:tc>
        <w:tc>
          <w:tcPr>
            <w:tcW w:w="740" w:type="dxa"/>
            <w:vAlign w:val="bottom"/>
          </w:tcPr>
          <w:p>
            <w:pPr>
              <w:jc w:val="right"/>
              <w:spacing w:after="0"/>
              <w:rPr>
                <w:sz w:val="20"/>
                <w:szCs w:val="20"/>
                <w:color w:val="auto"/>
              </w:rPr>
            </w:pPr>
            <w:r>
              <w:rPr>
                <w:rFonts w:ascii="Arial" w:cs="Arial" w:eastAsia="Arial" w:hAnsi="Arial"/>
                <w:sz w:val="18"/>
                <w:szCs w:val="18"/>
                <w:color w:val="auto"/>
              </w:rPr>
              <w:t>8.9%</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10.4%</w:t>
            </w: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r>
    </w:tbl>
    <w:p>
      <w:pPr>
        <w:spacing w:after="0" w:line="277" w:lineRule="exact"/>
        <w:rPr>
          <w:sz w:val="20"/>
          <w:szCs w:val="20"/>
          <w:color w:val="auto"/>
        </w:rPr>
      </w:pPr>
    </w:p>
    <w:p>
      <w:pPr>
        <w:ind w:right="600" w:firstLine="270"/>
        <w:spacing w:after="0" w:line="268" w:lineRule="auto"/>
        <w:rPr>
          <w:sz w:val="20"/>
          <w:szCs w:val="20"/>
          <w:color w:val="auto"/>
        </w:rPr>
      </w:pPr>
      <w:r>
        <w:rPr>
          <w:rFonts w:ascii="Arial" w:cs="Arial" w:eastAsia="Arial" w:hAnsi="Arial"/>
          <w:sz w:val="18"/>
          <w:szCs w:val="18"/>
          <w:color w:val="auto"/>
        </w:rPr>
        <w:t>Selling, general and administrative expenses increased $0.6 million to $10.7 million in Q1-11 as compared to $10.1 million in Q1-10, primarily due to increased employee compensation and related benefit expenses.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60" w:lineRule="exact"/>
        <w:rPr>
          <w:sz w:val="20"/>
          <w:szCs w:val="20"/>
          <w:color w:val="auto"/>
        </w:rPr>
      </w:pPr>
    </w:p>
    <w:p>
      <w:pPr>
        <w:ind w:left="6480"/>
        <w:spacing w:after="0"/>
        <w:rPr>
          <w:sz w:val="20"/>
          <w:szCs w:val="20"/>
          <w:color w:val="auto"/>
        </w:rPr>
      </w:pPr>
      <w:r>
        <w:rPr>
          <w:rFonts w:ascii="Arial" w:cs="Arial" w:eastAsia="Arial" w:hAnsi="Arial"/>
          <w:sz w:val="18"/>
          <w:szCs w:val="18"/>
          <w:b w:val="1"/>
          <w:bCs w:val="1"/>
          <w:color w:val="auto"/>
        </w:rPr>
        <w:t>Three Months Ended</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40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ind w:left="80"/>
              <w:spacing w:after="0"/>
              <w:rPr>
                <w:sz w:val="20"/>
                <w:szCs w:val="20"/>
                <w:color w:val="auto"/>
              </w:rPr>
            </w:pPr>
            <w:r>
              <w:rPr>
                <w:rFonts w:ascii="Arial" w:cs="Arial" w:eastAsia="Arial" w:hAnsi="Arial"/>
                <w:sz w:val="18"/>
                <w:szCs w:val="18"/>
                <w:b w:val="1"/>
                <w:bCs w:val="1"/>
                <w:color w:val="auto"/>
                <w:w w:val="93"/>
              </w:rPr>
              <w:t>Percent</w:t>
            </w:r>
          </w:p>
        </w:tc>
      </w:tr>
      <w:tr>
        <w:trPr>
          <w:trHeight w:val="240"/>
        </w:trPr>
        <w:tc>
          <w:tcPr>
            <w:tcW w:w="4020" w:type="dxa"/>
            <w:vAlign w:val="bottom"/>
            <w:tcBorders>
              <w:bottom w:val="single" w:sz="8" w:color="C0C0C0"/>
            </w:tcBorders>
          </w:tcPr>
          <w:p>
            <w:pPr>
              <w:spacing w:after="0"/>
              <w:rPr>
                <w:sz w:val="20"/>
                <w:szCs w:val="20"/>
                <w:color w:val="auto"/>
              </w:rPr>
            </w:pPr>
          </w:p>
        </w:tc>
        <w:tc>
          <w:tcPr>
            <w:tcW w:w="2400" w:type="dxa"/>
            <w:vAlign w:val="bottom"/>
            <w:tcBorders>
              <w:bottom w:val="single" w:sz="8" w:color="C0C0C0"/>
            </w:tcBorders>
          </w:tcPr>
          <w:p>
            <w:pPr>
              <w:spacing w:after="0"/>
              <w:rPr>
                <w:sz w:val="20"/>
                <w:szCs w:val="20"/>
                <w:color w:val="auto"/>
              </w:rPr>
            </w:pPr>
          </w:p>
        </w:tc>
        <w:tc>
          <w:tcPr>
            <w:tcW w:w="7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Q1-11</w:t>
            </w:r>
          </w:p>
        </w:tc>
        <w:tc>
          <w:tcPr>
            <w:tcW w:w="260" w:type="dxa"/>
            <w:vAlign w:val="bottom"/>
            <w:tcBorders>
              <w:bottom w:val="single" w:sz="8" w:color="C0C0C0"/>
            </w:tcBorders>
          </w:tcPr>
          <w:p>
            <w:pPr>
              <w:spacing w:after="0"/>
              <w:rPr>
                <w:sz w:val="20"/>
                <w:szCs w:val="20"/>
                <w:color w:val="auto"/>
              </w:rPr>
            </w:pPr>
          </w:p>
        </w:tc>
        <w:tc>
          <w:tcPr>
            <w:tcW w:w="7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Q1-10</w:t>
            </w:r>
          </w:p>
        </w:tc>
        <w:tc>
          <w:tcPr>
            <w:tcW w:w="260" w:type="dxa"/>
            <w:vAlign w:val="bottom"/>
            <w:tcBorders>
              <w:bottom w:val="single" w:sz="8" w:color="C0C0C0"/>
            </w:tcBorders>
          </w:tcPr>
          <w:p>
            <w:pPr>
              <w:spacing w:after="0"/>
              <w:rPr>
                <w:sz w:val="20"/>
                <w:szCs w:val="20"/>
                <w:color w:val="auto"/>
              </w:rPr>
            </w:pPr>
          </w:p>
        </w:tc>
        <w:tc>
          <w:tcPr>
            <w:tcW w:w="72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w w:val="93"/>
              </w:rPr>
              <w:t>Change</w:t>
            </w:r>
          </w:p>
        </w:tc>
      </w:tr>
      <w:tr>
        <w:trPr>
          <w:trHeight w:val="243"/>
        </w:trPr>
        <w:tc>
          <w:tcPr>
            <w:tcW w:w="4020" w:type="dxa"/>
            <w:vAlign w:val="bottom"/>
            <w:shd w:val="clear" w:color="auto" w:fill="C0C0C0"/>
          </w:tcPr>
          <w:p>
            <w:pPr>
              <w:spacing w:after="0"/>
              <w:rPr>
                <w:sz w:val="20"/>
                <w:szCs w:val="20"/>
                <w:color w:val="auto"/>
              </w:rPr>
            </w:pPr>
            <w:r>
              <w:rPr>
                <w:rFonts w:ascii="Arial" w:cs="Arial" w:eastAsia="Arial" w:hAnsi="Arial"/>
                <w:sz w:val="18"/>
                <w:szCs w:val="18"/>
                <w:color w:val="auto"/>
              </w:rPr>
              <w:t>R&amp;D expenses</w:t>
            </w:r>
          </w:p>
        </w:tc>
        <w:tc>
          <w:tcPr>
            <w:tcW w:w="3140" w:type="dxa"/>
            <w:vAlign w:val="bottom"/>
            <w:gridSpan w:val="2"/>
            <w:shd w:val="clear" w:color="auto" w:fill="C0C0C0"/>
          </w:tcPr>
          <w:p>
            <w:pPr>
              <w:jc w:val="right"/>
              <w:ind w:right="152"/>
              <w:spacing w:after="0"/>
              <w:rPr>
                <w:sz w:val="20"/>
                <w:szCs w:val="20"/>
                <w:color w:val="auto"/>
              </w:rPr>
            </w:pPr>
            <w:r>
              <w:rPr>
                <w:rFonts w:ascii="Arial" w:cs="Arial" w:eastAsia="Arial" w:hAnsi="Arial"/>
                <w:sz w:val="18"/>
                <w:szCs w:val="18"/>
                <w:color w:val="auto"/>
              </w:rPr>
              <w:t>$  3.8</w:t>
            </w:r>
          </w:p>
        </w:tc>
        <w:tc>
          <w:tcPr>
            <w:tcW w:w="1000" w:type="dxa"/>
            <w:vAlign w:val="bottom"/>
            <w:gridSpan w:val="2"/>
            <w:shd w:val="clear" w:color="auto" w:fill="C0C0C0"/>
          </w:tcPr>
          <w:p>
            <w:pPr>
              <w:jc w:val="right"/>
              <w:ind w:right="152"/>
              <w:spacing w:after="0"/>
              <w:rPr>
                <w:sz w:val="20"/>
                <w:szCs w:val="20"/>
                <w:color w:val="auto"/>
              </w:rPr>
            </w:pPr>
            <w:r>
              <w:rPr>
                <w:rFonts w:ascii="Arial" w:cs="Arial" w:eastAsia="Arial" w:hAnsi="Arial"/>
                <w:sz w:val="18"/>
                <w:szCs w:val="18"/>
                <w:color w:val="auto"/>
              </w:rPr>
              <w:t>$  4.0</w:t>
            </w:r>
          </w:p>
        </w:tc>
        <w:tc>
          <w:tcPr>
            <w:tcW w:w="260" w:type="dxa"/>
            <w:vAlign w:val="bottom"/>
            <w:shd w:val="clear" w:color="auto" w:fill="C0C0C0"/>
          </w:tcPr>
          <w:p>
            <w:pPr>
              <w:spacing w:after="0"/>
              <w:rPr>
                <w:sz w:val="21"/>
                <w:szCs w:val="21"/>
                <w:color w:val="auto"/>
              </w:rPr>
            </w:pP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(4.6)%</w:t>
            </w:r>
          </w:p>
        </w:tc>
      </w:tr>
      <w:tr>
        <w:trPr>
          <w:trHeight w:val="228"/>
        </w:trPr>
        <w:tc>
          <w:tcPr>
            <w:tcW w:w="4020" w:type="dxa"/>
            <w:vAlign w:val="bottom"/>
          </w:tcPr>
          <w:p>
            <w:pPr>
              <w:spacing w:after="0"/>
              <w:rPr>
                <w:sz w:val="20"/>
                <w:szCs w:val="20"/>
                <w:color w:val="auto"/>
              </w:rPr>
            </w:pPr>
            <w:r>
              <w:rPr>
                <w:rFonts w:ascii="Arial" w:cs="Arial" w:eastAsia="Arial" w:hAnsi="Arial"/>
                <w:sz w:val="18"/>
                <w:szCs w:val="18"/>
                <w:color w:val="auto"/>
              </w:rPr>
              <w:t>Percentage of net sales</w:t>
            </w:r>
          </w:p>
        </w:tc>
        <w:tc>
          <w:tcPr>
            <w:tcW w:w="3140" w:type="dxa"/>
            <w:vAlign w:val="bottom"/>
            <w:gridSpan w:val="2"/>
          </w:tcPr>
          <w:p>
            <w:pPr>
              <w:jc w:val="right"/>
              <w:ind w:right="12"/>
              <w:spacing w:after="0"/>
              <w:rPr>
                <w:sz w:val="20"/>
                <w:szCs w:val="20"/>
                <w:color w:val="auto"/>
              </w:rPr>
            </w:pPr>
            <w:r>
              <w:rPr>
                <w:rFonts w:ascii="Arial" w:cs="Arial" w:eastAsia="Arial" w:hAnsi="Arial"/>
                <w:sz w:val="18"/>
                <w:szCs w:val="18"/>
                <w:color w:val="auto"/>
              </w:rPr>
              <w:t>3.1%</w:t>
            </w:r>
          </w:p>
        </w:tc>
        <w:tc>
          <w:tcPr>
            <w:tcW w:w="1000" w:type="dxa"/>
            <w:vAlign w:val="bottom"/>
            <w:gridSpan w:val="2"/>
          </w:tcPr>
          <w:p>
            <w:pPr>
              <w:jc w:val="right"/>
              <w:ind w:right="12"/>
              <w:spacing w:after="0"/>
              <w:rPr>
                <w:sz w:val="20"/>
                <w:szCs w:val="20"/>
                <w:color w:val="auto"/>
              </w:rPr>
            </w:pPr>
            <w:r>
              <w:rPr>
                <w:rFonts w:ascii="Arial" w:cs="Arial" w:eastAsia="Arial" w:hAnsi="Arial"/>
                <w:sz w:val="18"/>
                <w:szCs w:val="18"/>
                <w:color w:val="auto"/>
              </w:rPr>
              <w:t>4.0%</w:t>
            </w: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r>
    </w:tbl>
    <w:p>
      <w:pPr>
        <w:spacing w:after="0" w:line="277" w:lineRule="exact"/>
        <w:rPr>
          <w:sz w:val="20"/>
          <w:szCs w:val="20"/>
          <w:color w:val="auto"/>
        </w:rPr>
      </w:pPr>
    </w:p>
    <w:p>
      <w:pPr>
        <w:jc w:val="both"/>
        <w:ind w:right="200" w:firstLine="270"/>
        <w:spacing w:after="0" w:line="259" w:lineRule="auto"/>
        <w:rPr>
          <w:sz w:val="20"/>
          <w:szCs w:val="20"/>
          <w:color w:val="auto"/>
        </w:rPr>
      </w:pPr>
      <w:r>
        <w:rPr>
          <w:rFonts w:ascii="Arial" w:cs="Arial" w:eastAsia="Arial" w:hAnsi="Arial"/>
          <w:sz w:val="18"/>
          <w:szCs w:val="18"/>
          <w:color w:val="auto"/>
        </w:rPr>
        <w:t>Research and development expenses consist primarily of global development efforts related to high-end process technologies for advanced sub-wavelength reticle solutions for IC and FPD technologies. Research and development expenses decreased $0.2 million in Q1-11 as compared to Q1-10, primarily as a result of decreased expenditures in the U.S.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680" w:type="dxa"/>
            <w:vAlign w:val="bottom"/>
          </w:tcPr>
          <w:p>
            <w:pPr>
              <w:spacing w:after="0"/>
              <w:rPr>
                <w:sz w:val="20"/>
                <w:szCs w:val="20"/>
                <w:color w:val="auto"/>
              </w:rPr>
            </w:pPr>
            <w:r>
              <w:rPr>
                <w:rFonts w:ascii="Arial" w:cs="Arial" w:eastAsia="Arial" w:hAnsi="Arial"/>
                <w:sz w:val="18"/>
                <w:szCs w:val="18"/>
                <w:b w:val="1"/>
                <w:bCs w:val="1"/>
                <w:i w:val="1"/>
                <w:iCs w:val="1"/>
                <w:color w:val="auto"/>
              </w:rPr>
              <w:t>Consolidation, Restructuring and Related Charges</w:t>
            </w:r>
          </w:p>
        </w:tc>
        <w:tc>
          <w:tcPr>
            <w:tcW w:w="29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300" w:type="dxa"/>
            <w:vAlign w:val="bottom"/>
          </w:tcPr>
          <w:p>
            <w:pPr>
              <w:spacing w:after="0"/>
              <w:rPr>
                <w:sz w:val="19"/>
                <w:szCs w:val="19"/>
                <w:color w:val="auto"/>
              </w:rPr>
            </w:pPr>
          </w:p>
        </w:tc>
      </w:tr>
      <w:tr>
        <w:trPr>
          <w:trHeight w:val="482"/>
        </w:trPr>
        <w:tc>
          <w:tcPr>
            <w:tcW w:w="4680" w:type="dxa"/>
            <w:vAlign w:val="bottom"/>
          </w:tcPr>
          <w:p>
            <w:pPr>
              <w:spacing w:after="0"/>
              <w:rPr>
                <w:sz w:val="24"/>
                <w:szCs w:val="24"/>
                <w:color w:val="auto"/>
              </w:rPr>
            </w:pPr>
          </w:p>
        </w:tc>
        <w:tc>
          <w:tcPr>
            <w:tcW w:w="6760" w:type="dxa"/>
            <w:vAlign w:val="bottom"/>
            <w:gridSpan w:val="6"/>
          </w:tcPr>
          <w:p>
            <w:pPr>
              <w:ind w:left="2900"/>
              <w:spacing w:after="0"/>
              <w:rPr>
                <w:sz w:val="20"/>
                <w:szCs w:val="20"/>
                <w:color w:val="auto"/>
              </w:rPr>
            </w:pPr>
            <w:r>
              <w:rPr>
                <w:rFonts w:ascii="Arial" w:cs="Arial" w:eastAsia="Arial" w:hAnsi="Arial"/>
                <w:sz w:val="18"/>
                <w:szCs w:val="18"/>
                <w:b w:val="1"/>
                <w:bCs w:val="1"/>
                <w:color w:val="auto"/>
              </w:rPr>
              <w:t>Three Months Ended</w:t>
            </w:r>
          </w:p>
        </w:tc>
      </w:tr>
      <w:tr>
        <w:trPr>
          <w:trHeight w:val="237"/>
        </w:trPr>
        <w:tc>
          <w:tcPr>
            <w:tcW w:w="4680" w:type="dxa"/>
            <w:vAlign w:val="bottom"/>
            <w:tcBorders>
              <w:bottom w:val="single" w:sz="8" w:color="C0C0C0"/>
            </w:tcBorders>
          </w:tcPr>
          <w:p>
            <w:pPr>
              <w:spacing w:after="0"/>
              <w:rPr>
                <w:sz w:val="20"/>
                <w:szCs w:val="20"/>
                <w:color w:val="auto"/>
              </w:rPr>
            </w:pPr>
          </w:p>
        </w:tc>
        <w:tc>
          <w:tcPr>
            <w:tcW w:w="2900" w:type="dxa"/>
            <w:vAlign w:val="bottom"/>
            <w:tcBorders>
              <w:bottom w:val="single" w:sz="8" w:color="C0C0C0"/>
            </w:tcBorders>
          </w:tcPr>
          <w:p>
            <w:pPr>
              <w:spacing w:after="0"/>
              <w:rPr>
                <w:sz w:val="20"/>
                <w:szCs w:val="20"/>
                <w:color w:val="auto"/>
              </w:rPr>
            </w:pPr>
          </w:p>
        </w:tc>
        <w:tc>
          <w:tcPr>
            <w:tcW w:w="5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b w:val="1"/>
                <w:bCs w:val="1"/>
                <w:color w:val="auto"/>
                <w:w w:val="87"/>
              </w:rPr>
              <w:t>Q1-10</w:t>
            </w:r>
          </w:p>
        </w:tc>
        <w:tc>
          <w:tcPr>
            <w:tcW w:w="380" w:type="dxa"/>
            <w:vAlign w:val="bottom"/>
            <w:tcBorders>
              <w:top w:val="single" w:sz="8" w:color="auto"/>
              <w:bottom w:val="single" w:sz="8" w:color="C0C0C0"/>
            </w:tcBorders>
          </w:tcPr>
          <w:p>
            <w:pPr>
              <w:spacing w:after="0"/>
              <w:rPr>
                <w:sz w:val="20"/>
                <w:szCs w:val="20"/>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Q1-10</w:t>
            </w:r>
          </w:p>
        </w:tc>
        <w:tc>
          <w:tcPr>
            <w:tcW w:w="2300" w:type="dxa"/>
            <w:vAlign w:val="bottom"/>
          </w:tcPr>
          <w:p>
            <w:pPr>
              <w:spacing w:after="0"/>
              <w:rPr>
                <w:sz w:val="20"/>
                <w:szCs w:val="20"/>
                <w:color w:val="auto"/>
              </w:rPr>
            </w:pPr>
          </w:p>
        </w:tc>
      </w:tr>
      <w:tr>
        <w:trPr>
          <w:trHeight w:val="243"/>
        </w:trPr>
        <w:tc>
          <w:tcPr>
            <w:tcW w:w="4680" w:type="dxa"/>
            <w:vAlign w:val="bottom"/>
            <w:shd w:val="clear" w:color="auto" w:fill="C0C0C0"/>
          </w:tcPr>
          <w:p>
            <w:pPr>
              <w:spacing w:after="0"/>
              <w:rPr>
                <w:sz w:val="20"/>
                <w:szCs w:val="20"/>
                <w:color w:val="auto"/>
              </w:rPr>
            </w:pPr>
            <w:r>
              <w:rPr>
                <w:rFonts w:ascii="Arial" w:cs="Arial" w:eastAsia="Arial" w:hAnsi="Arial"/>
                <w:sz w:val="18"/>
                <w:szCs w:val="18"/>
                <w:color w:val="auto"/>
              </w:rPr>
              <w:t>Employee terminations</w:t>
            </w:r>
          </w:p>
        </w:tc>
        <w:tc>
          <w:tcPr>
            <w:tcW w:w="3460" w:type="dxa"/>
            <w:vAlign w:val="bottom"/>
            <w:gridSpan w:val="2"/>
            <w:shd w:val="clear" w:color="auto" w:fill="C0C0C0"/>
          </w:tcPr>
          <w:p>
            <w:pPr>
              <w:ind w:left="2900"/>
              <w:spacing w:after="0"/>
              <w:rPr>
                <w:sz w:val="20"/>
                <w:szCs w:val="20"/>
                <w:color w:val="auto"/>
              </w:rPr>
            </w:pPr>
            <w:r>
              <w:rPr>
                <w:rFonts w:ascii="Arial" w:cs="Arial" w:eastAsia="Arial" w:hAnsi="Arial"/>
                <w:sz w:val="18"/>
                <w:szCs w:val="18"/>
                <w:color w:val="auto"/>
              </w:rPr>
              <w:t>$</w:t>
            </w:r>
          </w:p>
        </w:tc>
        <w:tc>
          <w:tcPr>
            <w:tcW w:w="380" w:type="dxa"/>
            <w:vAlign w:val="bottom"/>
            <w:tcBorders>
              <w:left w:val="single" w:sz="8" w:color="C0C0C0"/>
            </w:tcBorders>
            <w:shd w:val="clear" w:color="auto" w:fill="C0C0C0"/>
          </w:tcPr>
          <w:p>
            <w:pPr>
              <w:jc w:val="right"/>
              <w:ind w:right="238"/>
              <w:spacing w:after="0"/>
              <w:rPr>
                <w:sz w:val="20"/>
                <w:szCs w:val="20"/>
                <w:color w:val="auto"/>
              </w:rPr>
            </w:pPr>
            <w:r>
              <w:rPr>
                <w:rFonts w:ascii="Arial" w:cs="Arial" w:eastAsia="Arial" w:hAnsi="Arial"/>
                <w:sz w:val="16"/>
                <w:szCs w:val="16"/>
                <w:color w:val="auto"/>
                <w:w w:val="74"/>
              </w:rPr>
              <w:t>-</w:t>
            </w:r>
          </w:p>
        </w:tc>
        <w:tc>
          <w:tcPr>
            <w:tcW w:w="240" w:type="dxa"/>
            <w:vAlign w:val="bottom"/>
            <w:shd w:val="clear" w:color="auto" w:fill="C0C0C0"/>
          </w:tcPr>
          <w:p>
            <w:pPr>
              <w:jc w:val="right"/>
              <w:ind w:right="80"/>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0.2</w:t>
            </w:r>
          </w:p>
        </w:tc>
        <w:tc>
          <w:tcPr>
            <w:tcW w:w="2300" w:type="dxa"/>
            <w:vAlign w:val="bottom"/>
          </w:tcPr>
          <w:p>
            <w:pPr>
              <w:spacing w:after="0"/>
              <w:rPr>
                <w:sz w:val="21"/>
                <w:szCs w:val="21"/>
                <w:color w:val="auto"/>
              </w:rPr>
            </w:pPr>
          </w:p>
        </w:tc>
      </w:tr>
      <w:tr>
        <w:trPr>
          <w:trHeight w:val="235"/>
        </w:trPr>
        <w:tc>
          <w:tcPr>
            <w:tcW w:w="4680" w:type="dxa"/>
            <w:vAlign w:val="bottom"/>
          </w:tcPr>
          <w:p>
            <w:pPr>
              <w:spacing w:after="0"/>
              <w:rPr>
                <w:sz w:val="20"/>
                <w:szCs w:val="20"/>
                <w:color w:val="auto"/>
              </w:rPr>
            </w:pPr>
            <w:r>
              <w:rPr>
                <w:rFonts w:ascii="Arial" w:cs="Arial" w:eastAsia="Arial" w:hAnsi="Arial"/>
                <w:sz w:val="18"/>
                <w:szCs w:val="18"/>
                <w:color w:val="auto"/>
              </w:rPr>
              <w:t>Asset write-downs</w:t>
            </w:r>
          </w:p>
        </w:tc>
        <w:tc>
          <w:tcPr>
            <w:tcW w:w="29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80" w:type="dxa"/>
            <w:vAlign w:val="bottom"/>
          </w:tcPr>
          <w:p>
            <w:pPr>
              <w:jc w:val="right"/>
              <w:ind w:right="238"/>
              <w:spacing w:after="0"/>
              <w:rPr>
                <w:sz w:val="20"/>
                <w:szCs w:val="20"/>
                <w:color w:val="auto"/>
              </w:rPr>
            </w:pPr>
            <w:r>
              <w:rPr>
                <w:rFonts w:ascii="Arial" w:cs="Arial" w:eastAsia="Arial" w:hAnsi="Arial"/>
                <w:sz w:val="16"/>
                <w:szCs w:val="16"/>
                <w:color w:val="auto"/>
                <w:w w:val="74"/>
              </w:rPr>
              <w:t>-</w:t>
            </w:r>
          </w:p>
        </w:tc>
        <w:tc>
          <w:tcPr>
            <w:tcW w:w="240" w:type="dxa"/>
            <w:vAlign w:val="bottom"/>
          </w:tcPr>
          <w:p>
            <w:pPr>
              <w:spacing w:after="0"/>
              <w:rPr>
                <w:sz w:val="20"/>
                <w:szCs w:val="20"/>
                <w:color w:val="auto"/>
              </w:rPr>
            </w:pPr>
          </w:p>
        </w:tc>
        <w:tc>
          <w:tcPr>
            <w:tcW w:w="2680" w:type="dxa"/>
            <w:vAlign w:val="bottom"/>
            <w:gridSpan w:val="2"/>
          </w:tcPr>
          <w:p>
            <w:pPr>
              <w:jc w:val="right"/>
              <w:ind w:right="2300"/>
              <w:spacing w:after="0"/>
              <w:rPr>
                <w:sz w:val="20"/>
                <w:szCs w:val="20"/>
                <w:color w:val="auto"/>
              </w:rPr>
            </w:pPr>
            <w:r>
              <w:rPr>
                <w:rFonts w:ascii="Arial" w:cs="Arial" w:eastAsia="Arial" w:hAnsi="Arial"/>
                <w:sz w:val="18"/>
                <w:szCs w:val="18"/>
                <w:color w:val="auto"/>
              </w:rPr>
              <w:t>-</w:t>
            </w:r>
          </w:p>
        </w:tc>
      </w:tr>
      <w:tr>
        <w:trPr>
          <w:trHeight w:val="21"/>
        </w:trPr>
        <w:tc>
          <w:tcPr>
            <w:tcW w:w="4680" w:type="dxa"/>
            <w:vAlign w:val="bottom"/>
            <w:shd w:val="clear" w:color="auto" w:fill="C0C0C0"/>
          </w:tcPr>
          <w:p>
            <w:pPr>
              <w:spacing w:after="0" w:line="20" w:lineRule="exact"/>
              <w:rPr>
                <w:sz w:val="1"/>
                <w:szCs w:val="1"/>
                <w:color w:val="auto"/>
              </w:rPr>
            </w:pPr>
          </w:p>
        </w:tc>
        <w:tc>
          <w:tcPr>
            <w:tcW w:w="2900" w:type="dxa"/>
            <w:vAlign w:val="bottom"/>
            <w:shd w:val="clear" w:color="auto" w:fill="C0C0C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Borders>
              <w:left w:val="single" w:sz="8" w:color="auto"/>
            </w:tcBorders>
            <w:shd w:val="clear" w:color="auto" w:fill="C0C0C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262"/>
        </w:trPr>
        <w:tc>
          <w:tcPr>
            <w:tcW w:w="4680" w:type="dxa"/>
            <w:vAlign w:val="bottom"/>
            <w:shd w:val="clear" w:color="auto" w:fill="C0C0C0"/>
          </w:tcPr>
          <w:p>
            <w:pPr>
              <w:spacing w:after="0"/>
              <w:rPr>
                <w:sz w:val="20"/>
                <w:szCs w:val="20"/>
                <w:color w:val="auto"/>
              </w:rPr>
            </w:pPr>
            <w:r>
              <w:rPr>
                <w:rFonts w:ascii="Arial" w:cs="Arial" w:eastAsia="Arial" w:hAnsi="Arial"/>
                <w:sz w:val="18"/>
                <w:szCs w:val="18"/>
                <w:color w:val="auto"/>
              </w:rPr>
              <w:t>Total consolidation, restructuring and related charges</w:t>
            </w:r>
          </w:p>
        </w:tc>
        <w:tc>
          <w:tcPr>
            <w:tcW w:w="2900" w:type="dxa"/>
            <w:vAlign w:val="bottom"/>
            <w:shd w:val="clear" w:color="auto" w:fill="C0C0C0"/>
          </w:tcPr>
          <w:p>
            <w:pPr>
              <w:spacing w:after="0"/>
              <w:rPr>
                <w:sz w:val="22"/>
                <w:szCs w:val="22"/>
                <w:color w:val="auto"/>
              </w:rPr>
            </w:pPr>
          </w:p>
        </w:tc>
        <w:tc>
          <w:tcPr>
            <w:tcW w:w="560" w:type="dxa"/>
            <w:vAlign w:val="bottom"/>
            <w:shd w:val="clear" w:color="auto" w:fill="C0C0C0"/>
          </w:tcPr>
          <w:p>
            <w:pPr>
              <w:spacing w:after="0"/>
              <w:rPr>
                <w:sz w:val="20"/>
                <w:szCs w:val="20"/>
                <w:color w:val="auto"/>
              </w:rPr>
            </w:pPr>
            <w:r>
              <w:rPr>
                <w:rFonts w:ascii="Arial" w:cs="Arial" w:eastAsia="Arial" w:hAnsi="Arial"/>
                <w:sz w:val="18"/>
                <w:szCs w:val="18"/>
                <w:color w:val="auto"/>
              </w:rPr>
              <w:t>$</w:t>
            </w:r>
          </w:p>
        </w:tc>
        <w:tc>
          <w:tcPr>
            <w:tcW w:w="380" w:type="dxa"/>
            <w:vAlign w:val="bottom"/>
            <w:tcBorders>
              <w:left w:val="single" w:sz="8" w:color="C0C0C0"/>
            </w:tcBorders>
            <w:shd w:val="clear" w:color="auto" w:fill="C0C0C0"/>
          </w:tcPr>
          <w:p>
            <w:pPr>
              <w:jc w:val="right"/>
              <w:ind w:right="238"/>
              <w:spacing w:after="0"/>
              <w:rPr>
                <w:sz w:val="20"/>
                <w:szCs w:val="20"/>
                <w:color w:val="auto"/>
              </w:rPr>
            </w:pPr>
            <w:r>
              <w:rPr>
                <w:rFonts w:ascii="Arial" w:cs="Arial" w:eastAsia="Arial" w:hAnsi="Arial"/>
                <w:sz w:val="16"/>
                <w:szCs w:val="16"/>
                <w:color w:val="auto"/>
                <w:w w:val="74"/>
              </w:rPr>
              <w:t>-</w:t>
            </w:r>
          </w:p>
        </w:tc>
        <w:tc>
          <w:tcPr>
            <w:tcW w:w="240" w:type="dxa"/>
            <w:vAlign w:val="bottom"/>
            <w:shd w:val="clear" w:color="auto" w:fill="C0C0C0"/>
          </w:tcPr>
          <w:p>
            <w:pPr>
              <w:jc w:val="right"/>
              <w:ind w:right="80"/>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0.2</w:t>
            </w:r>
          </w:p>
        </w:tc>
        <w:tc>
          <w:tcPr>
            <w:tcW w:w="2300" w:type="dxa"/>
            <w:vAlign w:val="bottom"/>
          </w:tcPr>
          <w:p>
            <w:pPr>
              <w:spacing w:after="0"/>
              <w:rPr>
                <w:sz w:val="22"/>
                <w:szCs w:val="22"/>
                <w:color w:val="auto"/>
              </w:rPr>
            </w:pPr>
          </w:p>
        </w:tc>
      </w:tr>
      <w:tr>
        <w:trPr>
          <w:trHeight w:val="445"/>
        </w:trPr>
        <w:tc>
          <w:tcPr>
            <w:tcW w:w="4680" w:type="dxa"/>
            <w:vAlign w:val="bottom"/>
            <w:tcBorders>
              <w:top w:val="single" w:sz="8" w:color="C0C0C0"/>
            </w:tcBorders>
          </w:tcPr>
          <w:p>
            <w:pPr>
              <w:spacing w:after="0"/>
              <w:rPr>
                <w:sz w:val="24"/>
                <w:szCs w:val="24"/>
                <w:color w:val="auto"/>
              </w:rPr>
            </w:pPr>
          </w:p>
        </w:tc>
        <w:tc>
          <w:tcPr>
            <w:tcW w:w="2900" w:type="dxa"/>
            <w:vAlign w:val="bottom"/>
            <w:tcBorders>
              <w:top w:val="single" w:sz="8" w:color="C0C0C0"/>
            </w:tcBorders>
          </w:tcPr>
          <w:p>
            <w:pPr>
              <w:jc w:val="right"/>
              <w:ind w:right="1692"/>
              <w:spacing w:after="0"/>
              <w:rPr>
                <w:sz w:val="20"/>
                <w:szCs w:val="20"/>
                <w:color w:val="auto"/>
              </w:rPr>
            </w:pPr>
            <w:r>
              <w:rPr>
                <w:rFonts w:ascii="Arial" w:cs="Arial" w:eastAsia="Arial" w:hAnsi="Arial"/>
                <w:sz w:val="18"/>
                <w:szCs w:val="18"/>
                <w:color w:val="auto"/>
              </w:rPr>
              <w:t>22</w:t>
            </w:r>
          </w:p>
        </w:tc>
        <w:tc>
          <w:tcPr>
            <w:tcW w:w="560" w:type="dxa"/>
            <w:vAlign w:val="bottom"/>
            <w:tcBorders>
              <w:top w:val="single" w:sz="8" w:color="auto"/>
            </w:tcBorders>
          </w:tcPr>
          <w:p>
            <w:pPr>
              <w:spacing w:after="0"/>
              <w:rPr>
                <w:sz w:val="24"/>
                <w:szCs w:val="24"/>
                <w:color w:val="auto"/>
              </w:rPr>
            </w:pPr>
          </w:p>
        </w:tc>
        <w:tc>
          <w:tcPr>
            <w:tcW w:w="380" w:type="dxa"/>
            <w:vAlign w:val="bottom"/>
            <w:tcBorders>
              <w:top w:val="single" w:sz="8" w:color="C0C0C0"/>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2300" w:type="dxa"/>
            <w:vAlign w:val="bottom"/>
          </w:tcPr>
          <w:p>
            <w:pPr>
              <w:spacing w:after="0"/>
              <w:rPr>
                <w:sz w:val="24"/>
                <w:szCs w:val="24"/>
                <w:color w:val="auto"/>
              </w:rPr>
            </w:pPr>
          </w:p>
        </w:tc>
      </w:tr>
      <w:tr>
        <w:trPr>
          <w:trHeight w:val="363"/>
        </w:trPr>
        <w:tc>
          <w:tcPr>
            <w:tcW w:w="4680" w:type="dxa"/>
            <w:vAlign w:val="bottom"/>
            <w:tcBorders>
              <w:bottom w:val="single" w:sz="8" w:color="808080"/>
            </w:tcBorders>
          </w:tcPr>
          <w:p>
            <w:pPr>
              <w:spacing w:after="0"/>
              <w:rPr>
                <w:sz w:val="24"/>
                <w:szCs w:val="24"/>
                <w:color w:val="auto"/>
              </w:rPr>
            </w:pPr>
          </w:p>
        </w:tc>
        <w:tc>
          <w:tcPr>
            <w:tcW w:w="290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23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617" w:right="219" w:bottom="1440" w:gutter="0" w:footer="0" w:header="0"/>
        </w:sectPr>
      </w:pPr>
    </w:p>
    <w:bookmarkStart w:id="22" w:name="page23"/>
    <w:bookmarkEnd w:id="22"/>
    <w:p>
      <w:pPr>
        <w:jc w:val="both"/>
        <w:ind w:right="120" w:firstLine="270"/>
        <w:spacing w:after="0" w:line="306" w:lineRule="auto"/>
        <w:rPr>
          <w:sz w:val="20"/>
          <w:szCs w:val="20"/>
          <w:color w:val="auto"/>
        </w:rPr>
      </w:pPr>
      <w:r>
        <w:rPr>
          <w:rFonts w:ascii="Arial" w:cs="Arial" w:eastAsia="Arial" w:hAnsi="Arial"/>
          <w:sz w:val="16"/>
          <w:szCs w:val="16"/>
          <w:color w:val="auto"/>
        </w:rPr>
        <w:t>In the third quarter of fiscal 2009, the Company ceased the manufacture of photomasks at its Shanghai, China, facility. In connection with this restructuring, the Company has recorded total net charges of $5.2 million, including $4.7 million of net asset write-downs through its completion in fiscal 2010. The fair value of the assets written down was determined by management using a market approach. Approximately 75 employees were affected by this restructuring.</w:t>
      </w:r>
    </w:p>
    <w:p>
      <w:pPr>
        <w:spacing w:after="0" w:line="215" w:lineRule="exact"/>
        <w:rPr>
          <w:sz w:val="20"/>
          <w:szCs w:val="20"/>
          <w:color w:val="auto"/>
        </w:rPr>
      </w:pPr>
    </w:p>
    <w:p>
      <w:pPr>
        <w:ind w:firstLine="270"/>
        <w:spacing w:after="0" w:line="298" w:lineRule="auto"/>
        <w:rPr>
          <w:sz w:val="20"/>
          <w:szCs w:val="20"/>
          <w:color w:val="auto"/>
        </w:rPr>
      </w:pPr>
      <w:r>
        <w:rPr>
          <w:rFonts w:ascii="Arial" w:cs="Arial" w:eastAsia="Arial" w:hAnsi="Arial"/>
          <w:sz w:val="16"/>
          <w:szCs w:val="16"/>
          <w:color w:val="auto"/>
        </w:rPr>
        <w:t>The Company recorded an initial restructuring charge of $10.1 million in the third quarter of fiscal 2009, which included $7.7 million to write down the carrying value of the Company's Shanghai manufacturing facility to its estimated fair value at that time. In the second quarter of fiscal 2010, the Company sold its facility in Shanghai, China, for net proceeds of $12.9 million ($4.2 million of which was received as a deposit in the first quarter of fiscal 2010), which resulted in a gain of $5.4 million. The gain was recorded as a credit to the restructuring reserve in that quarter.</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800" w:type="dxa"/>
            <w:vAlign w:val="bottom"/>
          </w:tcPr>
          <w:p>
            <w:pPr>
              <w:spacing w:after="0"/>
              <w:rPr>
                <w:sz w:val="20"/>
                <w:szCs w:val="20"/>
                <w:color w:val="auto"/>
              </w:rPr>
            </w:pPr>
            <w:r>
              <w:rPr>
                <w:rFonts w:ascii="Arial" w:cs="Arial" w:eastAsia="Arial" w:hAnsi="Arial"/>
                <w:sz w:val="18"/>
                <w:szCs w:val="18"/>
                <w:b w:val="1"/>
                <w:bCs w:val="1"/>
                <w:i w:val="1"/>
                <w:iCs w:val="1"/>
                <w:color w:val="auto"/>
              </w:rPr>
              <w:t>Other Income (Expense), net</w:t>
            </w:r>
          </w:p>
        </w:tc>
        <w:tc>
          <w:tcPr>
            <w:tcW w:w="2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482"/>
        </w:trPr>
        <w:tc>
          <w:tcPr>
            <w:tcW w:w="48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4"/>
          </w:tcPr>
          <w:p>
            <w:pPr>
              <w:jc w:val="right"/>
              <w:ind w:right="52"/>
              <w:spacing w:after="0"/>
              <w:rPr>
                <w:sz w:val="20"/>
                <w:szCs w:val="20"/>
                <w:color w:val="auto"/>
              </w:rPr>
            </w:pPr>
            <w:r>
              <w:rPr>
                <w:rFonts w:ascii="Arial" w:cs="Arial" w:eastAsia="Arial" w:hAnsi="Arial"/>
                <w:sz w:val="18"/>
                <w:szCs w:val="18"/>
                <w:b w:val="1"/>
                <w:bCs w:val="1"/>
                <w:color w:val="auto"/>
                <w:w w:val="90"/>
              </w:rPr>
              <w:t>Three Months Ended</w:t>
            </w:r>
          </w:p>
        </w:tc>
      </w:tr>
      <w:tr>
        <w:trPr>
          <w:trHeight w:val="237"/>
        </w:trPr>
        <w:tc>
          <w:tcPr>
            <w:tcW w:w="4800" w:type="dxa"/>
            <w:vAlign w:val="bottom"/>
            <w:tcBorders>
              <w:bottom w:val="single" w:sz="8" w:color="C0C0C0"/>
            </w:tcBorders>
          </w:tcPr>
          <w:p>
            <w:pPr>
              <w:spacing w:after="0"/>
              <w:rPr>
                <w:sz w:val="20"/>
                <w:szCs w:val="20"/>
                <w:color w:val="auto"/>
              </w:rPr>
            </w:pPr>
          </w:p>
        </w:tc>
        <w:tc>
          <w:tcPr>
            <w:tcW w:w="2440" w:type="dxa"/>
            <w:vAlign w:val="bottom"/>
            <w:tcBorders>
              <w:bottom w:val="single" w:sz="8" w:color="C0C0C0"/>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99"/>
              </w:rPr>
              <w:t>Q1-11</w:t>
            </w:r>
          </w:p>
        </w:tc>
        <w:tc>
          <w:tcPr>
            <w:tcW w:w="260" w:type="dxa"/>
            <w:vAlign w:val="bottom"/>
            <w:tcBorders>
              <w:bottom w:val="single" w:sz="8" w:color="C0C0C0"/>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95"/>
              </w:rPr>
              <w:t>Q1-10</w:t>
            </w:r>
          </w:p>
        </w:tc>
      </w:tr>
      <w:tr>
        <w:trPr>
          <w:trHeight w:val="243"/>
        </w:trPr>
        <w:tc>
          <w:tcPr>
            <w:tcW w:w="4800" w:type="dxa"/>
            <w:vAlign w:val="bottom"/>
            <w:shd w:val="clear" w:color="auto" w:fill="C0C0C0"/>
          </w:tcPr>
          <w:p>
            <w:pPr>
              <w:spacing w:after="0"/>
              <w:rPr>
                <w:sz w:val="20"/>
                <w:szCs w:val="20"/>
                <w:color w:val="auto"/>
              </w:rPr>
            </w:pPr>
            <w:r>
              <w:rPr>
                <w:rFonts w:ascii="Arial" w:cs="Arial" w:eastAsia="Arial" w:hAnsi="Arial"/>
                <w:sz w:val="18"/>
                <w:szCs w:val="18"/>
                <w:color w:val="auto"/>
              </w:rPr>
              <w:t>Interest expense</w:t>
            </w:r>
          </w:p>
        </w:tc>
        <w:tc>
          <w:tcPr>
            <w:tcW w:w="256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(1.7)</w:t>
            </w:r>
          </w:p>
        </w:tc>
        <w:tc>
          <w:tcPr>
            <w:tcW w:w="40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(2.9)</w:t>
            </w:r>
          </w:p>
        </w:tc>
      </w:tr>
      <w:tr>
        <w:trPr>
          <w:trHeight w:val="237"/>
        </w:trPr>
        <w:tc>
          <w:tcPr>
            <w:tcW w:w="4800" w:type="dxa"/>
            <w:vAlign w:val="bottom"/>
            <w:tcBorders>
              <w:bottom w:val="single" w:sz="8" w:color="C0C0C0"/>
            </w:tcBorders>
          </w:tcPr>
          <w:p>
            <w:pPr>
              <w:spacing w:after="0"/>
              <w:rPr>
                <w:sz w:val="20"/>
                <w:szCs w:val="20"/>
                <w:color w:val="auto"/>
              </w:rPr>
            </w:pPr>
            <w:r>
              <w:rPr>
                <w:rFonts w:ascii="Arial" w:cs="Arial" w:eastAsia="Arial" w:hAnsi="Arial"/>
                <w:sz w:val="18"/>
                <w:szCs w:val="18"/>
                <w:color w:val="auto"/>
              </w:rPr>
              <w:t>Investment and other income, net</w:t>
            </w:r>
          </w:p>
        </w:tc>
        <w:tc>
          <w:tcPr>
            <w:tcW w:w="2440" w:type="dxa"/>
            <w:vAlign w:val="bottom"/>
            <w:tcBorders>
              <w:bottom w:val="single" w:sz="8" w:color="C0C0C0"/>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260" w:type="dxa"/>
            <w:vAlign w:val="bottom"/>
            <w:tcBorders>
              <w:bottom w:val="single" w:sz="8" w:color="C0C0C0"/>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r>
      <w:tr>
        <w:trPr>
          <w:trHeight w:val="250"/>
        </w:trPr>
        <w:tc>
          <w:tcPr>
            <w:tcW w:w="480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8"/>
                <w:szCs w:val="18"/>
                <w:color w:val="auto"/>
              </w:rPr>
              <w:t>Other income (expense), net</w:t>
            </w:r>
          </w:p>
        </w:tc>
        <w:tc>
          <w:tcPr>
            <w:tcW w:w="2440" w:type="dxa"/>
            <w:vAlign w:val="bottom"/>
            <w:tcBorders>
              <w:bottom w:val="single" w:sz="8" w:color="C0C0C0"/>
            </w:tcBorders>
            <w:shd w:val="clear" w:color="auto" w:fill="C0C0C0"/>
          </w:tcPr>
          <w:p>
            <w:pPr>
              <w:spacing w:after="0"/>
              <w:rPr>
                <w:sz w:val="21"/>
                <w:szCs w:val="21"/>
                <w:color w:val="auto"/>
              </w:rPr>
            </w:pPr>
          </w:p>
        </w:tc>
        <w:tc>
          <w:tcPr>
            <w:tcW w:w="1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1.0</w:t>
            </w:r>
          </w:p>
        </w:tc>
        <w:tc>
          <w:tcPr>
            <w:tcW w:w="260" w:type="dxa"/>
            <w:vAlign w:val="bottom"/>
            <w:tcBorders>
              <w:bottom w:val="single" w:sz="8" w:color="C0C0C0"/>
            </w:tcBorders>
            <w:shd w:val="clear" w:color="auto" w:fill="C0C0C0"/>
          </w:tcPr>
          <w:p>
            <w:pPr>
              <w:spacing w:after="0"/>
              <w:rPr>
                <w:sz w:val="21"/>
                <w:szCs w:val="21"/>
                <w:color w:val="auto"/>
              </w:rPr>
            </w:pPr>
          </w:p>
        </w:tc>
        <w:tc>
          <w:tcPr>
            <w:tcW w:w="1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(2.5)</w:t>
            </w:r>
          </w:p>
        </w:tc>
      </w:tr>
    </w:tbl>
    <w:p>
      <w:pPr>
        <w:spacing w:after="0" w:line="262" w:lineRule="exact"/>
        <w:rPr>
          <w:sz w:val="20"/>
          <w:szCs w:val="20"/>
          <w:color w:val="auto"/>
        </w:rPr>
      </w:pPr>
    </w:p>
    <w:p>
      <w:pPr>
        <w:jc w:val="both"/>
        <w:ind w:right="60" w:firstLine="270"/>
        <w:spacing w:after="0" w:line="259" w:lineRule="auto"/>
        <w:rPr>
          <w:sz w:val="20"/>
          <w:szCs w:val="20"/>
          <w:color w:val="auto"/>
        </w:rPr>
      </w:pPr>
      <w:r>
        <w:rPr>
          <w:rFonts w:ascii="Arial" w:cs="Arial" w:eastAsia="Arial" w:hAnsi="Arial"/>
          <w:sz w:val="18"/>
          <w:szCs w:val="18"/>
          <w:color w:val="auto"/>
        </w:rPr>
        <w:t>Interest expense decreased in Q1-11 as compared to Q1-10 primarily as a result of lower debt levels and lower average interest rates on the Company's long-term borrowings. Investment and other income, net, increased primarily due to more favorable foreign currency transaction results and higher investment income associated with increased cash balances.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60" w:lineRule="exact"/>
        <w:rPr>
          <w:sz w:val="20"/>
          <w:szCs w:val="20"/>
          <w:color w:val="auto"/>
        </w:rPr>
      </w:pPr>
    </w:p>
    <w:p>
      <w:pPr>
        <w:jc w:val="center"/>
        <w:ind w:left="5180"/>
        <w:spacing w:after="0"/>
        <w:rPr>
          <w:sz w:val="20"/>
          <w:szCs w:val="20"/>
          <w:color w:val="auto"/>
        </w:rPr>
      </w:pPr>
      <w:r>
        <w:rPr>
          <w:rFonts w:ascii="Arial" w:cs="Arial" w:eastAsia="Arial" w:hAnsi="Arial"/>
          <w:sz w:val="18"/>
          <w:szCs w:val="18"/>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4739005</wp:posOffset>
            </wp:positionH>
            <wp:positionV relativeFrom="paragraph">
              <wp:posOffset>23495</wp:posOffset>
            </wp:positionV>
            <wp:extent cx="106362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30" w:lineRule="exact"/>
        <w:rPr>
          <w:sz w:val="20"/>
          <w:szCs w:val="20"/>
          <w:color w:val="auto"/>
        </w:rPr>
      </w:pPr>
    </w:p>
    <w:p>
      <w:pPr>
        <w:ind w:left="7580"/>
        <w:spacing w:after="0"/>
        <w:tabs>
          <w:tab w:leader="none" w:pos="8540" w:val="left"/>
        </w:tabs>
        <w:rPr>
          <w:sz w:val="20"/>
          <w:szCs w:val="20"/>
          <w:color w:val="auto"/>
        </w:rPr>
      </w:pPr>
      <w:r>
        <w:rPr>
          <w:rFonts w:ascii="Arial" w:cs="Arial" w:eastAsia="Arial" w:hAnsi="Arial"/>
          <w:sz w:val="18"/>
          <w:szCs w:val="18"/>
          <w:b w:val="1"/>
          <w:bCs w:val="1"/>
          <w:color w:val="auto"/>
        </w:rPr>
        <w:t>Q1-11</w:t>
      </w:r>
      <w:r>
        <w:rPr>
          <w:sz w:val="20"/>
          <w:szCs w:val="20"/>
          <w:color w:val="auto"/>
        </w:rPr>
        <w:tab/>
      </w:r>
      <w:r>
        <w:rPr>
          <w:rFonts w:ascii="Arial" w:cs="Arial" w:eastAsia="Arial" w:hAnsi="Arial"/>
          <w:sz w:val="16"/>
          <w:szCs w:val="16"/>
          <w:b w:val="1"/>
          <w:bCs w:val="1"/>
          <w:color w:val="auto"/>
        </w:rPr>
        <w:t>Q1-10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5797550" cy="1803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97550" cy="180340"/>
                    </a:xfrm>
                    <a:prstGeom prst="rect">
                      <a:avLst/>
                    </a:prstGeom>
                    <a:noFill/>
                  </pic:spPr>
                </pic:pic>
              </a:graphicData>
            </a:graphic>
          </wp:anchor>
        </w:drawing>
      </w:r>
    </w:p>
    <w:p>
      <w:pPr>
        <w:spacing w:after="0" w:line="36" w:lineRule="exact"/>
        <w:rPr>
          <w:sz w:val="20"/>
          <w:szCs w:val="20"/>
          <w:color w:val="auto"/>
        </w:rPr>
      </w:pPr>
    </w:p>
    <w:p>
      <w:pPr>
        <w:spacing w:after="0"/>
        <w:tabs>
          <w:tab w:leader="none" w:pos="7440" w:val="left"/>
          <w:tab w:leader="none" w:pos="7920" w:val="left"/>
          <w:tab w:leader="none" w:pos="8420" w:val="left"/>
          <w:tab w:leader="none" w:pos="8900" w:val="left"/>
        </w:tabs>
        <w:rPr>
          <w:sz w:val="20"/>
          <w:szCs w:val="20"/>
          <w:color w:val="auto"/>
        </w:rPr>
      </w:pPr>
      <w:r>
        <w:rPr>
          <w:rFonts w:ascii="Arial" w:cs="Arial" w:eastAsia="Arial" w:hAnsi="Arial"/>
          <w:sz w:val="18"/>
          <w:szCs w:val="18"/>
          <w:color w:val="auto"/>
        </w:rPr>
        <w:t>Income tax provision</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3.5</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1.0</w:t>
      </w:r>
    </w:p>
    <w:p>
      <w:pPr>
        <w:spacing w:after="0" w:line="320" w:lineRule="exact"/>
        <w:rPr>
          <w:sz w:val="20"/>
          <w:szCs w:val="20"/>
          <w:color w:val="auto"/>
        </w:rPr>
      </w:pPr>
    </w:p>
    <w:p>
      <w:pPr>
        <w:ind w:right="100" w:firstLine="270"/>
        <w:spacing w:after="0" w:line="294" w:lineRule="auto"/>
        <w:rPr>
          <w:sz w:val="20"/>
          <w:szCs w:val="20"/>
          <w:color w:val="auto"/>
        </w:rPr>
      </w:pPr>
      <w:r>
        <w:rPr>
          <w:rFonts w:ascii="Arial" w:cs="Arial" w:eastAsia="Arial" w:hAnsi="Arial"/>
          <w:sz w:val="16"/>
          <w:szCs w:val="16"/>
          <w:color w:val="auto"/>
        </w:rPr>
        <w:t>The effective income tax rate differs from the amount computed by applying the U.S. statutory rate of 35% to income before income taxes in the first quarter of fiscal 2011 primarily due to a higher level of earnings taxed at lower statutory rates in foreign jurisdictions, and in the first quarter of fiscal 2010 primarily because income tax provisions incurred in jurisdictions where the Company generated income before income taxes were, due to valuation allowances, not significantly offset by income tax benefits in jurisdictions where the Company incurred losses before income taxes. Further, in Korea and at PSMC in Taiwan, various investment tax credits have been earned, which reduced the Company’s effective income tax rate.</w:t>
      </w:r>
    </w:p>
    <w:p>
      <w:pPr>
        <w:spacing w:after="0" w:line="224" w:lineRule="exact"/>
        <w:rPr>
          <w:sz w:val="20"/>
          <w:szCs w:val="20"/>
          <w:color w:val="auto"/>
        </w:rPr>
      </w:pPr>
    </w:p>
    <w:p>
      <w:pPr>
        <w:ind w:firstLine="270"/>
        <w:spacing w:after="0" w:line="256" w:lineRule="auto"/>
        <w:rPr>
          <w:sz w:val="20"/>
          <w:szCs w:val="20"/>
          <w:color w:val="auto"/>
        </w:rPr>
      </w:pPr>
      <w:r>
        <w:rPr>
          <w:rFonts w:ascii="Arial" w:cs="Arial" w:eastAsia="Arial" w:hAnsi="Arial"/>
          <w:sz w:val="18"/>
          <w:szCs w:val="18"/>
          <w:color w:val="auto"/>
        </w:rPr>
        <w:t>PKLT, the Company's FPD manufacturing facility in Taiwan, is accorded a tax holiday which commences in 2012 and expires in 2017. The availability of this tax holiday did not have a significant impact on the Company's decision to increase its Asian presence, as the Company's decision was in response to fundamental changes that took place in the semiconductor industry. This tax holiday had no dollar or per share effect in the three month periods ended January 30, 2011 and January 31, 2010.</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644" w:right="2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Net Income Attributable to Noncontrolling Interests</w:t>
      </w:r>
    </w:p>
    <w:p>
      <w:pPr>
        <w:spacing w:after="0" w:line="279" w:lineRule="exact"/>
        <w:rPr>
          <w:sz w:val="20"/>
          <w:szCs w:val="20"/>
          <w:color w:val="auto"/>
        </w:rPr>
      </w:pPr>
    </w:p>
    <w:p>
      <w:pPr>
        <w:ind w:right="120" w:firstLine="270"/>
        <w:spacing w:after="0" w:line="306" w:lineRule="auto"/>
        <w:rPr>
          <w:sz w:val="20"/>
          <w:szCs w:val="20"/>
          <w:color w:val="auto"/>
        </w:rPr>
      </w:pPr>
      <w:r>
        <w:rPr>
          <w:rFonts w:ascii="Arial" w:cs="Arial" w:eastAsia="Arial" w:hAnsi="Arial"/>
          <w:sz w:val="16"/>
          <w:szCs w:val="16"/>
          <w:color w:val="auto"/>
        </w:rPr>
        <w:t>Net income attributable to noncontrolling interests increased $1.3 million to $1.5 million in Q1-11 as compared to Q1-10, primarily due to increased net income at the Company's non-wholly owned subsidiary in Taiwan. The Company's ownership in its subsidiary in Taiwan was approximately 58% at January 30, 2011 and October 31, 2010, and its ownership in its subsidiary in Korea was approximately 99.7% at January 30, 2011 and October 31, 2010.</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85" w:lineRule="exact"/>
        <w:rPr>
          <w:sz w:val="20"/>
          <w:szCs w:val="20"/>
          <w:color w:val="auto"/>
        </w:rPr>
      </w:pPr>
    </w:p>
    <w:p>
      <w:pPr>
        <w:ind w:right="40" w:firstLine="270"/>
        <w:spacing w:after="0" w:line="290" w:lineRule="auto"/>
        <w:rPr>
          <w:sz w:val="20"/>
          <w:szCs w:val="20"/>
          <w:color w:val="auto"/>
        </w:rPr>
      </w:pPr>
      <w:r>
        <w:rPr>
          <w:rFonts w:ascii="Arial" w:cs="Arial" w:eastAsia="Arial" w:hAnsi="Arial"/>
          <w:sz w:val="16"/>
          <w:szCs w:val="16"/>
          <w:color w:val="auto"/>
        </w:rPr>
        <w:t>The Company's working capital was $81.5 million at January 30, 2011, and $86.6 million at October 31, 2010. The decrease in working capital was primarily related to repayments of long-term borrowings. Cash and cash equivalents increased to $112.7 million at January 30, 2011, as compared to $98.9 million at October 31, 2010, primarily due to increased cash generated from operations, which was partially offset by payments for capital expenditures and repayments of long-term borrowings. Net cash provided by operating activities was $41.7 million in Q1-11, as compared to $16.4 million in Q1-10, the increase primarily being due to the Company's increased net income and increases in accounts payable and accrued liabilities primarily related to capital expenditures. Net cash used in investing activities for the three months ended January 30, 2011, was $23.1 million, which was comprised primarily of capital expenditure payments. Net cash used in financing activities of $7.2 million for the three months ended January 30, 2011 was primarily comprised of net repayments of long-term borrowings.</w:t>
      </w:r>
    </w:p>
    <w:p>
      <w:pPr>
        <w:spacing w:after="0" w:line="226" w:lineRule="exact"/>
        <w:rPr>
          <w:sz w:val="20"/>
          <w:szCs w:val="20"/>
          <w:color w:val="auto"/>
        </w:rPr>
      </w:pPr>
    </w:p>
    <w:p>
      <w:pPr>
        <w:ind w:right="160" w:firstLine="270"/>
        <w:spacing w:after="0" w:line="298" w:lineRule="auto"/>
        <w:rPr>
          <w:sz w:val="20"/>
          <w:szCs w:val="20"/>
          <w:color w:val="auto"/>
        </w:rPr>
      </w:pPr>
      <w:r>
        <w:rPr>
          <w:rFonts w:ascii="Arial" w:cs="Arial" w:eastAsia="Arial" w:hAnsi="Arial"/>
          <w:sz w:val="16"/>
          <w:szCs w:val="16"/>
          <w:color w:val="auto"/>
        </w:rPr>
        <w:t>The Company's amended revolving credit facility ("the credit facility") provides for a maximum borrowing capacity of $65 million. The credit facility bears interest at LIBOR plus a spread (3.8% at January 30, 2011), as defined in the agreement, based upon the Company's total leverage ratio. On January 5, 2011, a $10 million irrevocable stand-by letter of credit, for the purchase of manufacturing equipment, was issued under the Company's revolving credit facility. As of January 30, 2011, the Company had no outstanding borrowings under the credit facility and $55 million was available for borrowing.</w:t>
      </w:r>
    </w:p>
    <w:p>
      <w:pPr>
        <w:spacing w:after="0" w:line="221" w:lineRule="exact"/>
        <w:rPr>
          <w:sz w:val="20"/>
          <w:szCs w:val="20"/>
          <w:color w:val="auto"/>
        </w:rPr>
      </w:pPr>
    </w:p>
    <w:p>
      <w:pPr>
        <w:ind w:right="100" w:firstLine="270"/>
        <w:spacing w:after="0" w:line="306" w:lineRule="auto"/>
        <w:rPr>
          <w:sz w:val="20"/>
          <w:szCs w:val="20"/>
          <w:color w:val="auto"/>
        </w:rPr>
      </w:pPr>
      <w:r>
        <w:rPr>
          <w:rFonts w:ascii="Arial" w:cs="Arial" w:eastAsia="Arial" w:hAnsi="Arial"/>
          <w:sz w:val="16"/>
          <w:szCs w:val="16"/>
          <w:color w:val="auto"/>
        </w:rPr>
        <w:t>The credit facility, which matures on February 12, 2013, is secured by substantially all of the Company's assets in the United States as well as common stock the Company owns in certain of its foreign subsidiaries. The credit facility is subject to the following financial covenants: fixed charge coverage ratio, total leverage ratio, minimum unrestricted cash balance, and maximum capital expenditures, all as defined in the agreement.</w:t>
      </w:r>
    </w:p>
    <w:p>
      <w:pPr>
        <w:spacing w:after="0" w:line="215" w:lineRule="exact"/>
        <w:rPr>
          <w:sz w:val="20"/>
          <w:szCs w:val="20"/>
          <w:color w:val="auto"/>
        </w:rPr>
      </w:pPr>
    </w:p>
    <w:p>
      <w:pPr>
        <w:ind w:firstLine="270"/>
        <w:spacing w:after="0" w:line="294" w:lineRule="auto"/>
        <w:rPr>
          <w:sz w:val="20"/>
          <w:szCs w:val="20"/>
          <w:color w:val="auto"/>
        </w:rPr>
      </w:pPr>
      <w:r>
        <w:rPr>
          <w:rFonts w:ascii="Arial" w:cs="Arial" w:eastAsia="Arial" w:hAnsi="Arial"/>
          <w:sz w:val="16"/>
          <w:szCs w:val="16"/>
          <w:color w:val="auto"/>
        </w:rPr>
        <w:t>At January 30, 2011, the Company had capital commitments outstanding of approximately $29 million, primarily for investment in high-end IC photomask manufacturing capability. Photronics believes that its currently available resources, together with its capacity for growth, and its access to equity and other financing sources, will be sufficient to satisfy its currently planned capital expenditures, as well as its anticipated working capital requirements for the next twelve months. However, the Company cannot assure that additional sources of financing would be available to the Company on commercially favorable terms should the Company's capital requirements exceed cash available from operations, existing cash, and cash available under its credit facility.</w:t>
      </w:r>
    </w:p>
    <w:p>
      <w:pPr>
        <w:spacing w:after="0" w:line="224" w:lineRule="exact"/>
        <w:rPr>
          <w:sz w:val="20"/>
          <w:szCs w:val="20"/>
          <w:color w:val="auto"/>
        </w:rPr>
      </w:pPr>
    </w:p>
    <w:p>
      <w:pPr>
        <w:ind w:right="140" w:firstLine="270"/>
        <w:spacing w:after="0" w:line="289" w:lineRule="auto"/>
        <w:rPr>
          <w:sz w:val="20"/>
          <w:szCs w:val="20"/>
          <w:color w:val="auto"/>
        </w:rPr>
      </w:pPr>
      <w:r>
        <w:rPr>
          <w:rFonts w:ascii="Arial" w:cs="Arial" w:eastAsia="Arial" w:hAnsi="Arial"/>
          <w:sz w:val="16"/>
          <w:szCs w:val="16"/>
          <w:color w:val="auto"/>
        </w:rPr>
        <w:t>The Company's liquidity is highly dependent on its sales volume, cash conversion cycle, and the timing of its capital expenditures (which can vary significantly from period to period), as it operates in a high fixed cost environment. Depending on conditions in the IC semiconductor and FPD market, the Company's cash flows from operations and current holdings of cash may not be adequate to meet its current and long-term needs for capital expenditures, operations and debt repayments. Historically, in certain years the Company has used external financing to fund these needs. Due to conditions in the credit markets, some financing instruments used by the Company in the past may not be currently available to it. The Company continues to evaluate further cost reduction initiatives. However, the Company cannot assure that additional sources of financing would be available to it on commercially favorable terms should its cash requirements exceed cash available from operations, existing cash, and cash available under its credit facility. The Company may from time to time opportunistically repurchase its convertible senior notes in open market or privately negotiated transactions, on terms it believes to be favorable.</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617" w:right="2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Share-Based Compensation</w:t>
      </w:r>
    </w:p>
    <w:p>
      <w:pPr>
        <w:spacing w:after="0" w:line="285" w:lineRule="exact"/>
        <w:rPr>
          <w:sz w:val="20"/>
          <w:szCs w:val="20"/>
          <w:color w:val="auto"/>
        </w:rPr>
      </w:pPr>
    </w:p>
    <w:p>
      <w:pPr>
        <w:ind w:right="60" w:firstLine="270"/>
        <w:spacing w:after="0" w:line="256" w:lineRule="auto"/>
        <w:rPr>
          <w:sz w:val="20"/>
          <w:szCs w:val="20"/>
          <w:color w:val="auto"/>
        </w:rPr>
      </w:pPr>
      <w:r>
        <w:rPr>
          <w:rFonts w:ascii="Arial" w:cs="Arial" w:eastAsia="Arial" w:hAnsi="Arial"/>
          <w:sz w:val="18"/>
          <w:szCs w:val="18"/>
          <w:color w:val="auto"/>
        </w:rPr>
        <w:t>Total share-based compensation expense was $0.5 million and $0.6 million for the three month periods ended January 30, 2011 and January 31, 2010, respectively, all of which is recorded in selling, general and administrative expenses. No compensation cost was capitalized as part of inventory, and no related income tax benefit was recorded in either period. As of January 30, 2011, total unrecognized compensation cost of $4.9 million is expected to be recognized over a weighted-average amortization period of 2.9 years.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85" w:lineRule="exact"/>
        <w:rPr>
          <w:sz w:val="20"/>
          <w:szCs w:val="20"/>
          <w:color w:val="auto"/>
        </w:rPr>
      </w:pPr>
    </w:p>
    <w:p>
      <w:pPr>
        <w:ind w:firstLine="270"/>
        <w:spacing w:after="0" w:line="291" w:lineRule="auto"/>
        <w:rPr>
          <w:sz w:val="20"/>
          <w:szCs w:val="20"/>
          <w:color w:val="auto"/>
        </w:rPr>
      </w:pPr>
      <w:r>
        <w:rPr>
          <w:rFonts w:ascii="Arial" w:cs="Arial" w:eastAsia="Arial" w:hAnsi="Arial"/>
          <w:sz w:val="16"/>
          <w:szCs w:val="16"/>
          <w:color w:val="auto"/>
        </w:rPr>
        <w:t>Under the MP Mask joint venture operating agreement, in order to maintain its 49.99% ownership interest, the Company may be requested to make additional capital contributions to the joint venture up to the maximum amount specified in the operating agreement. However, should the Board of Managers determine that further additional funding is required, the joint venture shall pursue its own financing. If the joint venture is unable to obtain its own financing, it may request additional capital contributions from the Company. Should the Company choose not to make a requested contribution to the joint venture, its ownership interest may be reduced. Cumulatively through January 30, 2011, including a contribution of $4.0 million made in Q1-11, the Company has contributed $10.1 million to the joint venture, and has received distributions from the joint venture totaling $10.0 million,</w:t>
      </w:r>
    </w:p>
    <w:p>
      <w:pPr>
        <w:spacing w:after="0" w:line="228" w:lineRule="exact"/>
        <w:rPr>
          <w:sz w:val="20"/>
          <w:szCs w:val="20"/>
          <w:color w:val="auto"/>
        </w:rPr>
      </w:pPr>
    </w:p>
    <w:p>
      <w:pPr>
        <w:ind w:firstLine="270"/>
        <w:spacing w:after="0" w:line="291" w:lineRule="auto"/>
        <w:rPr>
          <w:sz w:val="20"/>
          <w:szCs w:val="20"/>
          <w:color w:val="auto"/>
        </w:rPr>
      </w:pPr>
      <w:r>
        <w:rPr>
          <w:rFonts w:ascii="Arial" w:cs="Arial" w:eastAsia="Arial" w:hAnsi="Arial"/>
          <w:sz w:val="16"/>
          <w:szCs w:val="16"/>
          <w:color w:val="auto"/>
        </w:rPr>
        <w:t>The Company leases certain office facilities and equipment under operating leases that may require it to pay taxes, insurance and maintenance expenses related to the properties. Certain of these leases contain renewal or purchase options exercisable at the end of the lease terms. On May 19, 2009, the Company and Micron Technologies, Inc. entered into a new lease agreement for the U.S. nanoFab building and cancelled its prior lease agreement. The new lease, among other changes discussed in Note 4 to the condensed consolidated financial statements, extends the lease term from December 31, 2012 to December 31, 2014. The Company will continue to account for the lease as a capital lease for the remainder of its original term and account for it as an operating lease for the period of the lease extension. Rental payments due during the lease extension period total $13.9 million.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Outlook</w:t>
      </w:r>
    </w:p>
    <w:p>
      <w:pPr>
        <w:spacing w:after="0" w:line="285" w:lineRule="exact"/>
        <w:rPr>
          <w:sz w:val="20"/>
          <w:szCs w:val="20"/>
          <w:color w:val="auto"/>
        </w:rPr>
      </w:pPr>
    </w:p>
    <w:p>
      <w:pPr>
        <w:ind w:firstLine="270"/>
        <w:spacing w:after="0" w:line="256" w:lineRule="auto"/>
        <w:rPr>
          <w:sz w:val="20"/>
          <w:szCs w:val="20"/>
          <w:color w:val="auto"/>
        </w:rPr>
      </w:pPr>
      <w:r>
        <w:rPr>
          <w:rFonts w:ascii="Arial" w:cs="Arial" w:eastAsia="Arial" w:hAnsi="Arial"/>
          <w:sz w:val="18"/>
          <w:szCs w:val="18"/>
          <w:color w:val="auto"/>
        </w:rPr>
        <w:t>A majority of the Company's revenue growth is expected to come from the Asian region, as customers increase their use of manufacturing foundries located outside of North America and Europe. Additional revenue growth is also anticipated in North America as the Company benefits from advanced technology it may utilize under its technology license with Micron. The Company's Korean and Taiwanese operations are non-wholly owned subsidiaries, therefore, a portion of earnings generated at each of these locations is allocated to noncontrolling interests.</w:t>
      </w:r>
    </w:p>
    <w:p>
      <w:pPr>
        <w:spacing w:after="0" w:line="251" w:lineRule="exact"/>
        <w:rPr>
          <w:sz w:val="20"/>
          <w:szCs w:val="20"/>
          <w:color w:val="auto"/>
        </w:rPr>
      </w:pPr>
    </w:p>
    <w:p>
      <w:pPr>
        <w:ind w:right="540" w:firstLine="270"/>
        <w:spacing w:after="0" w:line="335" w:lineRule="auto"/>
        <w:rPr>
          <w:sz w:val="20"/>
          <w:szCs w:val="20"/>
          <w:color w:val="auto"/>
        </w:rPr>
      </w:pPr>
      <w:r>
        <w:rPr>
          <w:rFonts w:ascii="Arial" w:cs="Arial" w:eastAsia="Arial" w:hAnsi="Arial"/>
          <w:sz w:val="15"/>
          <w:szCs w:val="15"/>
          <w:color w:val="auto"/>
        </w:rPr>
        <w:t>The Company continues to assess its global manufacturing strategy and monitor its market capitalization, sales volume and related cash flows from operations. This ongoing assessment could result in future facility closures, asset redeployments, additional impairments of intangible or long-lived assets, workforce reductions, or the addition of increased manufacturing facilities, all of which would be based on market conditions and customer requirements.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Recent Accounting Pronouncements</w:t>
      </w:r>
    </w:p>
    <w:p>
      <w:pPr>
        <w:spacing w:after="0" w:line="285" w:lineRule="exact"/>
        <w:rPr>
          <w:sz w:val="20"/>
          <w:szCs w:val="20"/>
          <w:color w:val="auto"/>
        </w:rPr>
      </w:pPr>
    </w:p>
    <w:p>
      <w:pPr>
        <w:ind w:right="80" w:firstLine="270"/>
        <w:spacing w:after="0" w:line="268" w:lineRule="auto"/>
        <w:rPr>
          <w:sz w:val="20"/>
          <w:szCs w:val="20"/>
          <w:color w:val="auto"/>
        </w:rPr>
      </w:pPr>
      <w:r>
        <w:rPr>
          <w:rFonts w:ascii="Arial" w:cs="Arial" w:eastAsia="Arial" w:hAnsi="Arial"/>
          <w:sz w:val="18"/>
          <w:szCs w:val="18"/>
          <w:color w:val="auto"/>
        </w:rPr>
        <w:t>See Note 14 of the condensed consolidated financial statements for a summary of recent accounting pronouncements that may affect the Company's financial reporting.</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611" w:right="25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85" w:lineRule="exact"/>
        <w:rPr>
          <w:sz w:val="20"/>
          <w:szCs w:val="20"/>
          <w:color w:val="auto"/>
        </w:rPr>
      </w:pPr>
    </w:p>
    <w:p>
      <w:pPr>
        <w:ind w:right="80" w:firstLine="270"/>
        <w:spacing w:after="0" w:line="310" w:lineRule="auto"/>
        <w:rPr>
          <w:sz w:val="20"/>
          <w:szCs w:val="20"/>
          <w:color w:val="auto"/>
        </w:rPr>
      </w:pPr>
      <w:r>
        <w:rPr>
          <w:rFonts w:ascii="Arial" w:cs="Arial" w:eastAsia="Arial" w:hAnsi="Arial"/>
          <w:sz w:val="15"/>
          <w:szCs w:val="15"/>
          <w:color w:val="auto"/>
        </w:rPr>
        <w:t>The Company records derivatives on the condensed consolidated balance sheets as assets or liabilities, measured at fair value. The Company does not engage in derivative instruments for speculative purposes. Gains or losses resulting from changes in the values of those derivatives are reported in the condensed consolidated statements of operations, or as accumulated other comprehensive income, a separate component of shareholders' equity, depending on the use of the derivatives and whether they qualify for hedge accounting. In order to qualify for hedge accounting, among other criteria, the derivative must be a hedge for an interest rate, price, foreign currency exchange rate, or credit risk, that is expected to be highly effective at the inception of the hedge and be highly effective in achieving offsetting changes in the fair value or cash flows of the hedged item during the term of the hedge, and formally documented at the inception of the hedge. In general, the types of risks hedged are those related to the variability of future cash flows caused by movements in foreign currency exchange and interest rates. The Company documents its risk management strategy and hedge effectiveness at the inception of, and during the term of each hedge.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285" w:lineRule="exact"/>
        <w:rPr>
          <w:sz w:val="20"/>
          <w:szCs w:val="20"/>
          <w:color w:val="auto"/>
        </w:rPr>
      </w:pPr>
    </w:p>
    <w:p>
      <w:pPr>
        <w:ind w:right="100" w:firstLine="270"/>
        <w:spacing w:after="0" w:line="256" w:lineRule="auto"/>
        <w:rPr>
          <w:sz w:val="20"/>
          <w:szCs w:val="20"/>
          <w:color w:val="auto"/>
        </w:rPr>
      </w:pPr>
      <w:r>
        <w:rPr>
          <w:rFonts w:ascii="Arial" w:cs="Arial" w:eastAsia="Arial" w:hAnsi="Arial"/>
          <w:sz w:val="18"/>
          <w:szCs w:val="18"/>
          <w:color w:val="auto"/>
        </w:rPr>
        <w:t>The Company conducts business in several major international currencies through its worldwide operations and is subject to changes in foreign exchange rates of such currencies. Changes in exchange rates can positively or negatively affect the Company's sales, operating margins, assets, liabilities, and equity. The functional currencies of the Company's Asian subsidiaries are the Korean won, the New Taiwan dollar, and the Singapore dollar. The functional currencies of the Company's European subsidiaries are the British pound and the euro.</w:t>
      </w:r>
    </w:p>
    <w:p>
      <w:pPr>
        <w:spacing w:after="0" w:line="251" w:lineRule="exact"/>
        <w:rPr>
          <w:sz w:val="20"/>
          <w:szCs w:val="20"/>
          <w:color w:val="auto"/>
        </w:rPr>
      </w:pPr>
    </w:p>
    <w:p>
      <w:pPr>
        <w:ind w:firstLine="270"/>
        <w:spacing w:after="0" w:line="294" w:lineRule="auto"/>
        <w:rPr>
          <w:sz w:val="20"/>
          <w:szCs w:val="20"/>
          <w:color w:val="auto"/>
        </w:rPr>
      </w:pPr>
      <w:r>
        <w:rPr>
          <w:rFonts w:ascii="Arial" w:cs="Arial" w:eastAsia="Arial" w:hAnsi="Arial"/>
          <w:sz w:val="16"/>
          <w:szCs w:val="16"/>
          <w:color w:val="auto"/>
        </w:rPr>
        <w:t>The Company attempts to minimize its risk of foreign currency transaction losses by producing its products in the same country in which the products are sold (thereby generating revenues and incurring expenses in the same currency), and by managing its working capital. In some instances, the Company may sell or purchase products in a currency other than the functional currency of the country where it was produced. There can be no assurance that this approach will continue to be successful, especially in the event of a significant adverse movement in the value of any foreign currencies against the U.S. dollar. In certain recent years the Company experienced significant foreign exchange losses on these transactions.</w:t>
      </w:r>
    </w:p>
    <w:p>
      <w:pPr>
        <w:spacing w:after="0" w:line="224" w:lineRule="exact"/>
        <w:rPr>
          <w:sz w:val="20"/>
          <w:szCs w:val="20"/>
          <w:color w:val="auto"/>
        </w:rPr>
      </w:pPr>
    </w:p>
    <w:p>
      <w:pPr>
        <w:jc w:val="both"/>
        <w:ind w:right="260" w:firstLine="270"/>
        <w:spacing w:after="0" w:line="298" w:lineRule="auto"/>
        <w:rPr>
          <w:sz w:val="20"/>
          <w:szCs w:val="20"/>
          <w:color w:val="auto"/>
        </w:rPr>
      </w:pPr>
      <w:r>
        <w:rPr>
          <w:rFonts w:ascii="Arial" w:cs="Arial" w:eastAsia="Arial" w:hAnsi="Arial"/>
          <w:sz w:val="16"/>
          <w:szCs w:val="16"/>
          <w:color w:val="auto"/>
        </w:rPr>
        <w:t>The Company's primary net foreign currency exposures as of January 30, 2011, included the Korean won, the Japanese yen, the Singapore dollar, the New Taiwan dollar, the British pound, and the euro. As of January 30, 2011, a 10% adverse movement in the value of these currencies against the U.S. dollar would have resulted in a net unrealized pre-tax loss of $2.8 million. The Company does not believe that a 10% change in the exchange rates of other non-U.S. dollar currencies would have a material effect on its consolidated financial position, results of operations, or cash flows.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85" w:lineRule="exact"/>
        <w:rPr>
          <w:sz w:val="20"/>
          <w:szCs w:val="20"/>
          <w:color w:val="auto"/>
        </w:rPr>
      </w:pPr>
    </w:p>
    <w:p>
      <w:pPr>
        <w:ind w:right="120" w:firstLine="270"/>
        <w:spacing w:after="0" w:line="332" w:lineRule="auto"/>
        <w:rPr>
          <w:sz w:val="20"/>
          <w:szCs w:val="20"/>
          <w:color w:val="auto"/>
        </w:rPr>
      </w:pPr>
      <w:r>
        <w:rPr>
          <w:rFonts w:ascii="Arial" w:cs="Arial" w:eastAsia="Arial" w:hAnsi="Arial"/>
          <w:sz w:val="16"/>
          <w:szCs w:val="16"/>
          <w:color w:val="auto"/>
        </w:rPr>
        <w:t>At January 30, 2011, the Company did not have any variable rate borrowings. Accordingly, a change in interest rates would not have had a material effect on the Company's consolidated financial position, results of operations, or cash flows in the three month period ended January 30, 2011.</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85" w:lineRule="exact"/>
        <w:rPr>
          <w:sz w:val="20"/>
          <w:szCs w:val="20"/>
          <w:color w:val="auto"/>
        </w:rPr>
      </w:pPr>
    </w:p>
    <w:p>
      <w:pPr>
        <w:ind w:right="40" w:firstLine="270"/>
        <w:spacing w:after="0" w:line="290" w:lineRule="auto"/>
        <w:rPr>
          <w:sz w:val="20"/>
          <w:szCs w:val="20"/>
          <w:color w:val="auto"/>
        </w:rPr>
      </w:pPr>
      <w:r>
        <w:rPr>
          <w:rFonts w:ascii="Arial" w:cs="Arial" w:eastAsia="Arial" w:hAnsi="Arial"/>
          <w:sz w:val="16"/>
          <w:szCs w:val="16"/>
          <w:color w:val="auto"/>
        </w:rPr>
        <w:t>The Company has established and currently maintains disclosure controls and procedures designed to ensure that information required to be disclosed in its reports filed under the Securities Exchange Act of 1934 is recorded, processed, summarized and reported within the time periods specified in the Securities and Exchange Commission's rules and forms, and that such information is accumulated and communicated to management, including the Company's chief executive officer and chief financial officer, as appropriate, to allow for timely decisions regarding required disclosure. In designing and evaluating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possible controls and procedures.</w:t>
      </w:r>
    </w:p>
    <w:p>
      <w:pPr>
        <w:spacing w:after="0" w:line="226" w:lineRule="exact"/>
        <w:rPr>
          <w:sz w:val="20"/>
          <w:szCs w:val="20"/>
          <w:color w:val="auto"/>
        </w:rPr>
      </w:pPr>
    </w:p>
    <w:p>
      <w:pPr>
        <w:ind w:firstLine="270"/>
        <w:spacing w:after="0" w:line="291" w:lineRule="auto"/>
        <w:rPr>
          <w:sz w:val="20"/>
          <w:szCs w:val="20"/>
          <w:color w:val="auto"/>
        </w:rPr>
      </w:pPr>
      <w:r>
        <w:rPr>
          <w:rFonts w:ascii="Arial" w:cs="Arial" w:eastAsia="Arial" w:hAnsi="Arial"/>
          <w:sz w:val="16"/>
          <w:szCs w:val="16"/>
          <w:color w:val="auto"/>
        </w:rPr>
        <w:t>The Company's management, with the participation of the Company's chief executive officer and chief financial officer, evaluated the effectiveness of the Company's disclosure controls and procedures as of the end of the period covered by this report. Based on that evaluation, the chief executive officer and chief financial officer concluded that the Company's disclosure controls and procedures, as of the end of the period covered by this report, were designed and are functioning effectively to provide reasonable assurance that the information required to be disclosed by the Company in reports filed under the Securities Exchange Act of 1934 is (i) recorded, processed, summarized and reported within the time periods specified in the SEC's rules and forms, and (ii) accumulated and communicated to management, including the chief executive officer and chief financial officer, as appropriate to allow timely decisions regarding disclosure.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85" w:lineRule="exact"/>
        <w:rPr>
          <w:sz w:val="20"/>
          <w:szCs w:val="20"/>
          <w:color w:val="auto"/>
        </w:rPr>
      </w:pPr>
    </w:p>
    <w:p>
      <w:pPr>
        <w:ind w:right="40" w:firstLine="270"/>
        <w:spacing w:after="0" w:line="268" w:lineRule="auto"/>
        <w:rPr>
          <w:sz w:val="20"/>
          <w:szCs w:val="20"/>
          <w:color w:val="auto"/>
        </w:rPr>
      </w:pPr>
      <w:r>
        <w:rPr>
          <w:rFonts w:ascii="Arial" w:cs="Arial" w:eastAsia="Arial" w:hAnsi="Arial"/>
          <w:sz w:val="18"/>
          <w:szCs w:val="18"/>
          <w:color w:val="auto"/>
        </w:rPr>
        <w:t>There was no change in the Company's internal control over financial reporting during the Company's first quarter of fiscal 2011 that has materially affected, or is reasonably likely to materially affect, the Company's internal control over financial reporting.</w:t>
      </w:r>
    </w:p>
    <w:p>
      <w:pPr>
        <w:spacing w:after="0" w:line="21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40"/>
          </w:cols>
          <w:pgMar w:left="240" w:top="611" w:right="31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85" w:lineRule="exact"/>
        <w:rPr>
          <w:sz w:val="20"/>
          <w:szCs w:val="20"/>
          <w:color w:val="auto"/>
        </w:rPr>
      </w:pPr>
    </w:p>
    <w:p>
      <w:pPr>
        <w:ind w:right="340" w:firstLine="270"/>
        <w:spacing w:after="0" w:line="268" w:lineRule="auto"/>
        <w:rPr>
          <w:sz w:val="20"/>
          <w:szCs w:val="20"/>
          <w:color w:val="auto"/>
        </w:rPr>
      </w:pPr>
      <w:r>
        <w:rPr>
          <w:rFonts w:ascii="Arial" w:cs="Arial" w:eastAsia="Arial" w:hAnsi="Arial"/>
          <w:sz w:val="18"/>
          <w:szCs w:val="18"/>
          <w:color w:val="auto"/>
        </w:rPr>
        <w:t>There have been no material changes to risks relating to the Company's business as disclosed in Part 1, Item 1A of the Company's Form 10-K for the year ended October 31, 2010</w:t>
      </w:r>
      <w:r>
        <w:rPr>
          <w:rFonts w:ascii="Arial" w:cs="Arial" w:eastAsia="Arial" w:hAnsi="Arial"/>
          <w:sz w:val="18"/>
          <w:szCs w:val="18"/>
          <w:b w:val="1"/>
          <w:bCs w:val="1"/>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72" w:lineRule="exact"/>
        <w:rPr>
          <w:sz w:val="20"/>
          <w:szCs w:val="20"/>
          <w:color w:val="auto"/>
        </w:rPr>
      </w:pPr>
    </w:p>
    <w:tbl>
      <w:tblPr>
        <w:tblLayout w:type="fixed"/>
        <w:tblInd w:w="540" w:type="dxa"/>
        <w:tblCellMar>
          <w:top w:w="0" w:type="dxa"/>
          <w:left w:w="0" w:type="dxa"/>
          <w:bottom w:w="0" w:type="dxa"/>
          <w:right w:w="0" w:type="dxa"/>
        </w:tblCellMar>
      </w:tblPr>
      <w:tr>
        <w:trPr>
          <w:trHeight w:val="222"/>
        </w:trPr>
        <w:tc>
          <w:tcPr>
            <w:tcW w:w="480" w:type="dxa"/>
            <w:vAlign w:val="bottom"/>
          </w:tcPr>
          <w:p>
            <w:pPr>
              <w:spacing w:after="0"/>
              <w:rPr>
                <w:sz w:val="20"/>
                <w:szCs w:val="20"/>
                <w:color w:val="auto"/>
              </w:rPr>
            </w:pPr>
            <w:r>
              <w:rPr>
                <w:rFonts w:ascii="Arial" w:cs="Arial" w:eastAsia="Arial" w:hAnsi="Arial"/>
                <w:sz w:val="18"/>
                <w:szCs w:val="18"/>
                <w:color w:val="auto"/>
              </w:rPr>
              <w:t>(a)</w:t>
            </w:r>
          </w:p>
        </w:tc>
        <w:tc>
          <w:tcPr>
            <w:tcW w:w="900" w:type="dxa"/>
            <w:vAlign w:val="bottom"/>
            <w:gridSpan w:val="2"/>
          </w:tcPr>
          <w:p>
            <w:pPr>
              <w:spacing w:after="0"/>
              <w:rPr>
                <w:sz w:val="20"/>
                <w:szCs w:val="20"/>
                <w:color w:val="auto"/>
              </w:rPr>
            </w:pPr>
            <w:r>
              <w:rPr>
                <w:rFonts w:ascii="Arial" w:cs="Arial" w:eastAsia="Arial" w:hAnsi="Arial"/>
                <w:sz w:val="18"/>
                <w:szCs w:val="18"/>
                <w:color w:val="auto"/>
              </w:rPr>
              <w:t>Exhibits</w:t>
            </w:r>
          </w:p>
        </w:tc>
        <w:tc>
          <w:tcPr>
            <w:tcW w:w="9500" w:type="dxa"/>
            <w:vAlign w:val="bottom"/>
          </w:tcPr>
          <w:p>
            <w:pPr>
              <w:spacing w:after="0"/>
              <w:rPr>
                <w:sz w:val="19"/>
                <w:szCs w:val="19"/>
                <w:color w:val="auto"/>
              </w:rPr>
            </w:pPr>
          </w:p>
        </w:tc>
      </w:tr>
      <w:tr>
        <w:trPr>
          <w:trHeight w:val="486"/>
        </w:trPr>
        <w:tc>
          <w:tcPr>
            <w:tcW w:w="480" w:type="dxa"/>
            <w:vAlign w:val="bottom"/>
          </w:tcPr>
          <w:p>
            <w:pPr>
              <w:spacing w:after="0"/>
              <w:rPr>
                <w:sz w:val="24"/>
                <w:szCs w:val="24"/>
                <w:color w:val="auto"/>
              </w:rPr>
            </w:pPr>
          </w:p>
        </w:tc>
        <w:tc>
          <w:tcPr>
            <w:tcW w:w="90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9500" w:type="dxa"/>
            <w:vAlign w:val="bottom"/>
          </w:tcPr>
          <w:p>
            <w:pPr>
              <w:spacing w:after="0"/>
              <w:rPr>
                <w:sz w:val="24"/>
                <w:szCs w:val="24"/>
                <w:color w:val="auto"/>
              </w:rPr>
            </w:pPr>
          </w:p>
        </w:tc>
      </w:tr>
      <w:tr>
        <w:trPr>
          <w:trHeight w:val="252"/>
        </w:trPr>
        <w:tc>
          <w:tcPr>
            <w:tcW w:w="480" w:type="dxa"/>
            <w:vAlign w:val="bottom"/>
          </w:tcPr>
          <w:p>
            <w:pPr>
              <w:spacing w:after="0"/>
              <w:rPr>
                <w:sz w:val="21"/>
                <w:szCs w:val="21"/>
                <w:color w:val="auto"/>
              </w:rPr>
            </w:pPr>
          </w:p>
        </w:tc>
        <w:tc>
          <w:tcPr>
            <w:tcW w:w="900" w:type="dxa"/>
            <w:vAlign w:val="bottom"/>
            <w:gridSpan w:val="2"/>
          </w:tcPr>
          <w:p>
            <w:pPr>
              <w:spacing w:after="0"/>
              <w:rPr>
                <w:sz w:val="20"/>
                <w:szCs w:val="20"/>
                <w:color w:val="auto"/>
              </w:rPr>
            </w:pPr>
            <w:r>
              <w:rPr>
                <w:rFonts w:ascii="Arial" w:cs="Arial" w:eastAsia="Arial" w:hAnsi="Arial"/>
                <w:sz w:val="18"/>
                <w:szCs w:val="18"/>
                <w:b w:val="1"/>
                <w:bCs w:val="1"/>
                <w:color w:val="auto"/>
              </w:rPr>
              <w:t>Number</w:t>
            </w:r>
          </w:p>
        </w:tc>
        <w:tc>
          <w:tcPr>
            <w:tcW w:w="9500" w:type="dxa"/>
            <w:vAlign w:val="bottom"/>
          </w:tcPr>
          <w:p>
            <w:pPr>
              <w:spacing w:after="0"/>
              <w:rPr>
                <w:sz w:val="20"/>
                <w:szCs w:val="20"/>
                <w:color w:val="auto"/>
              </w:rPr>
            </w:pPr>
            <w:r>
              <w:rPr>
                <w:rFonts w:ascii="Arial" w:cs="Arial" w:eastAsia="Arial" w:hAnsi="Arial"/>
                <w:sz w:val="18"/>
                <w:szCs w:val="18"/>
                <w:b w:val="1"/>
                <w:bCs w:val="1"/>
                <w:color w:val="auto"/>
              </w:rPr>
              <w:t>Description</w:t>
            </w:r>
          </w:p>
        </w:tc>
      </w:tr>
      <w:tr>
        <w:trPr>
          <w:trHeight w:val="228"/>
        </w:trPr>
        <w:tc>
          <w:tcPr>
            <w:tcW w:w="480" w:type="dxa"/>
            <w:vAlign w:val="bottom"/>
          </w:tcPr>
          <w:p>
            <w:pPr>
              <w:spacing w:after="0"/>
              <w:rPr>
                <w:sz w:val="19"/>
                <w:szCs w:val="19"/>
                <w:color w:val="auto"/>
              </w:rPr>
            </w:pPr>
          </w:p>
        </w:tc>
        <w:tc>
          <w:tcPr>
            <w:tcW w:w="640" w:type="dxa"/>
            <w:vAlign w:val="bottom"/>
            <w:tcBorders>
              <w:top w:val="single" w:sz="8" w:color="auto"/>
            </w:tcBorders>
            <w:shd w:val="clear" w:color="auto" w:fill="C0C0C0"/>
          </w:tcPr>
          <w:p>
            <w:pPr>
              <w:spacing w:after="0"/>
              <w:rPr>
                <w:sz w:val="20"/>
                <w:szCs w:val="20"/>
                <w:color w:val="auto"/>
              </w:rPr>
            </w:pPr>
            <w:r>
              <w:rPr>
                <w:rFonts w:ascii="Arial" w:cs="Arial" w:eastAsia="Arial" w:hAnsi="Arial"/>
                <w:sz w:val="18"/>
                <w:szCs w:val="18"/>
                <w:color w:val="auto"/>
              </w:rPr>
              <w:t>31.1</w:t>
            </w:r>
          </w:p>
        </w:tc>
        <w:tc>
          <w:tcPr>
            <w:tcW w:w="260" w:type="dxa"/>
            <w:vAlign w:val="bottom"/>
            <w:tcBorders>
              <w:top w:val="single" w:sz="8" w:color="C0C0C0"/>
            </w:tcBorders>
            <w:shd w:val="clear" w:color="auto" w:fill="C0C0C0"/>
          </w:tcPr>
          <w:p>
            <w:pPr>
              <w:spacing w:after="0"/>
              <w:rPr>
                <w:sz w:val="19"/>
                <w:szCs w:val="19"/>
                <w:color w:val="auto"/>
              </w:rPr>
            </w:pPr>
          </w:p>
        </w:tc>
        <w:tc>
          <w:tcPr>
            <w:tcW w:w="9500" w:type="dxa"/>
            <w:vAlign w:val="bottom"/>
            <w:tcBorders>
              <w:top w:val="single" w:sz="8" w:color="auto"/>
            </w:tcBorders>
            <w:shd w:val="clear" w:color="auto" w:fill="C0C0C0"/>
          </w:tcPr>
          <w:p>
            <w:pPr>
              <w:spacing w:after="0"/>
              <w:rPr>
                <w:sz w:val="20"/>
                <w:szCs w:val="20"/>
                <w:color w:val="auto"/>
              </w:rPr>
            </w:pPr>
            <w:r>
              <w:rPr>
                <w:rFonts w:ascii="Arial" w:cs="Arial" w:eastAsia="Arial" w:hAnsi="Arial"/>
                <w:sz w:val="18"/>
                <w:szCs w:val="18"/>
                <w:color w:val="auto"/>
                <w:w w:val="92"/>
              </w:rPr>
              <w:t>Certification of Chief Executive Officer pursuant to Rule 13a-14(a)/15d-14(a) of the Securities Exchange Act of 1934, as adopted</w:t>
            </w:r>
          </w:p>
        </w:tc>
      </w:tr>
      <w:tr>
        <w:trPr>
          <w:trHeight w:val="259"/>
        </w:trPr>
        <w:tc>
          <w:tcPr>
            <w:tcW w:w="480" w:type="dxa"/>
            <w:vAlign w:val="bottom"/>
          </w:tcPr>
          <w:p>
            <w:pPr>
              <w:spacing w:after="0"/>
              <w:rPr>
                <w:sz w:val="22"/>
                <w:szCs w:val="22"/>
                <w:color w:val="auto"/>
              </w:rPr>
            </w:pPr>
          </w:p>
        </w:tc>
        <w:tc>
          <w:tcPr>
            <w:tcW w:w="640" w:type="dxa"/>
            <w:vAlign w:val="bottom"/>
            <w:shd w:val="clear" w:color="auto" w:fill="C0C0C0"/>
          </w:tcPr>
          <w:p>
            <w:pPr>
              <w:spacing w:after="0"/>
              <w:rPr>
                <w:sz w:val="22"/>
                <w:szCs w:val="22"/>
                <w:color w:val="auto"/>
              </w:rPr>
            </w:pPr>
          </w:p>
        </w:tc>
        <w:tc>
          <w:tcPr>
            <w:tcW w:w="260" w:type="dxa"/>
            <w:vAlign w:val="bottom"/>
            <w:shd w:val="clear" w:color="auto" w:fill="C0C0C0"/>
          </w:tcPr>
          <w:p>
            <w:pPr>
              <w:spacing w:after="0"/>
              <w:rPr>
                <w:sz w:val="22"/>
                <w:szCs w:val="22"/>
                <w:color w:val="auto"/>
              </w:rPr>
            </w:pPr>
          </w:p>
        </w:tc>
        <w:tc>
          <w:tcPr>
            <w:tcW w:w="9500" w:type="dxa"/>
            <w:vAlign w:val="bottom"/>
            <w:shd w:val="clear" w:color="auto" w:fill="C0C0C0"/>
          </w:tcPr>
          <w:p>
            <w:pPr>
              <w:spacing w:after="0"/>
              <w:rPr>
                <w:sz w:val="20"/>
                <w:szCs w:val="20"/>
                <w:color w:val="auto"/>
              </w:rPr>
            </w:pPr>
            <w:r>
              <w:rPr>
                <w:rFonts w:ascii="Arial" w:cs="Arial" w:eastAsia="Arial" w:hAnsi="Arial"/>
                <w:sz w:val="18"/>
                <w:szCs w:val="18"/>
                <w:color w:val="auto"/>
              </w:rPr>
              <w:t>pursuant to Section 302 of the Sarbanes-Oxley Act of 2002.</w:t>
            </w:r>
          </w:p>
        </w:tc>
      </w:tr>
      <w:tr>
        <w:trPr>
          <w:trHeight w:val="243"/>
        </w:trPr>
        <w:tc>
          <w:tcPr>
            <w:tcW w:w="4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500" w:type="dxa"/>
            <w:vAlign w:val="bottom"/>
          </w:tcPr>
          <w:p>
            <w:pPr>
              <w:spacing w:after="0"/>
              <w:rPr>
                <w:sz w:val="21"/>
                <w:szCs w:val="21"/>
                <w:color w:val="auto"/>
              </w:rPr>
            </w:pPr>
          </w:p>
        </w:tc>
      </w:tr>
      <w:tr>
        <w:trPr>
          <w:trHeight w:val="228"/>
        </w:trPr>
        <w:tc>
          <w:tcPr>
            <w:tcW w:w="480" w:type="dxa"/>
            <w:vAlign w:val="bottom"/>
          </w:tcPr>
          <w:p>
            <w:pPr>
              <w:spacing w:after="0"/>
              <w:rPr>
                <w:sz w:val="19"/>
                <w:szCs w:val="19"/>
                <w:color w:val="auto"/>
              </w:rPr>
            </w:pPr>
          </w:p>
        </w:tc>
        <w:tc>
          <w:tcPr>
            <w:tcW w:w="640" w:type="dxa"/>
            <w:vAlign w:val="bottom"/>
            <w:shd w:val="clear" w:color="auto" w:fill="C0C0C0"/>
          </w:tcPr>
          <w:p>
            <w:pPr>
              <w:spacing w:after="0"/>
              <w:rPr>
                <w:sz w:val="20"/>
                <w:szCs w:val="20"/>
                <w:color w:val="auto"/>
              </w:rPr>
            </w:pPr>
            <w:r>
              <w:rPr>
                <w:rFonts w:ascii="Arial" w:cs="Arial" w:eastAsia="Arial" w:hAnsi="Arial"/>
                <w:sz w:val="18"/>
                <w:szCs w:val="18"/>
                <w:color w:val="auto"/>
              </w:rPr>
              <w:t>31.2</w:t>
            </w:r>
          </w:p>
        </w:tc>
        <w:tc>
          <w:tcPr>
            <w:tcW w:w="260" w:type="dxa"/>
            <w:vAlign w:val="bottom"/>
            <w:shd w:val="clear" w:color="auto" w:fill="C0C0C0"/>
          </w:tcPr>
          <w:p>
            <w:pPr>
              <w:spacing w:after="0"/>
              <w:rPr>
                <w:sz w:val="19"/>
                <w:szCs w:val="19"/>
                <w:color w:val="auto"/>
              </w:rPr>
            </w:pPr>
          </w:p>
        </w:tc>
        <w:tc>
          <w:tcPr>
            <w:tcW w:w="9500" w:type="dxa"/>
            <w:vAlign w:val="bottom"/>
            <w:shd w:val="clear" w:color="auto" w:fill="C0C0C0"/>
          </w:tcPr>
          <w:p>
            <w:pPr>
              <w:spacing w:after="0"/>
              <w:rPr>
                <w:sz w:val="20"/>
                <w:szCs w:val="20"/>
                <w:color w:val="auto"/>
              </w:rPr>
            </w:pPr>
            <w:r>
              <w:rPr>
                <w:rFonts w:ascii="Arial" w:cs="Arial" w:eastAsia="Arial" w:hAnsi="Arial"/>
                <w:sz w:val="18"/>
                <w:szCs w:val="18"/>
                <w:color w:val="auto"/>
                <w:w w:val="93"/>
              </w:rPr>
              <w:t>Certification of Chief Financial Officer pursuant to Rule 13a-14(a)/15d-14(a) of the Securities Exchange Act of 1934, as adopted</w:t>
            </w:r>
          </w:p>
        </w:tc>
      </w:tr>
      <w:tr>
        <w:trPr>
          <w:trHeight w:val="259"/>
        </w:trPr>
        <w:tc>
          <w:tcPr>
            <w:tcW w:w="480" w:type="dxa"/>
            <w:vAlign w:val="bottom"/>
          </w:tcPr>
          <w:p>
            <w:pPr>
              <w:spacing w:after="0"/>
              <w:rPr>
                <w:sz w:val="22"/>
                <w:szCs w:val="22"/>
                <w:color w:val="auto"/>
              </w:rPr>
            </w:pPr>
          </w:p>
        </w:tc>
        <w:tc>
          <w:tcPr>
            <w:tcW w:w="640" w:type="dxa"/>
            <w:vAlign w:val="bottom"/>
            <w:shd w:val="clear" w:color="auto" w:fill="C0C0C0"/>
          </w:tcPr>
          <w:p>
            <w:pPr>
              <w:spacing w:after="0"/>
              <w:rPr>
                <w:sz w:val="22"/>
                <w:szCs w:val="22"/>
                <w:color w:val="auto"/>
              </w:rPr>
            </w:pPr>
          </w:p>
        </w:tc>
        <w:tc>
          <w:tcPr>
            <w:tcW w:w="260" w:type="dxa"/>
            <w:vAlign w:val="bottom"/>
            <w:shd w:val="clear" w:color="auto" w:fill="C0C0C0"/>
          </w:tcPr>
          <w:p>
            <w:pPr>
              <w:spacing w:after="0"/>
              <w:rPr>
                <w:sz w:val="22"/>
                <w:szCs w:val="22"/>
                <w:color w:val="auto"/>
              </w:rPr>
            </w:pPr>
          </w:p>
        </w:tc>
        <w:tc>
          <w:tcPr>
            <w:tcW w:w="9500" w:type="dxa"/>
            <w:vAlign w:val="bottom"/>
            <w:shd w:val="clear" w:color="auto" w:fill="C0C0C0"/>
          </w:tcPr>
          <w:p>
            <w:pPr>
              <w:spacing w:after="0"/>
              <w:rPr>
                <w:sz w:val="20"/>
                <w:szCs w:val="20"/>
                <w:color w:val="auto"/>
              </w:rPr>
            </w:pPr>
            <w:r>
              <w:rPr>
                <w:rFonts w:ascii="Arial" w:cs="Arial" w:eastAsia="Arial" w:hAnsi="Arial"/>
                <w:sz w:val="18"/>
                <w:szCs w:val="18"/>
                <w:color w:val="auto"/>
              </w:rPr>
              <w:t>pursuant to Section 302 of the Sarbanes-Oxley Act of 2002.</w:t>
            </w:r>
          </w:p>
        </w:tc>
      </w:tr>
      <w:tr>
        <w:trPr>
          <w:trHeight w:val="243"/>
        </w:trPr>
        <w:tc>
          <w:tcPr>
            <w:tcW w:w="4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500" w:type="dxa"/>
            <w:vAlign w:val="bottom"/>
          </w:tcPr>
          <w:p>
            <w:pPr>
              <w:spacing w:after="0"/>
              <w:rPr>
                <w:sz w:val="21"/>
                <w:szCs w:val="21"/>
                <w:color w:val="auto"/>
              </w:rPr>
            </w:pPr>
          </w:p>
        </w:tc>
      </w:tr>
      <w:tr>
        <w:trPr>
          <w:trHeight w:val="228"/>
        </w:trPr>
        <w:tc>
          <w:tcPr>
            <w:tcW w:w="480" w:type="dxa"/>
            <w:vAlign w:val="bottom"/>
          </w:tcPr>
          <w:p>
            <w:pPr>
              <w:spacing w:after="0"/>
              <w:rPr>
                <w:sz w:val="19"/>
                <w:szCs w:val="19"/>
                <w:color w:val="auto"/>
              </w:rPr>
            </w:pPr>
          </w:p>
        </w:tc>
        <w:tc>
          <w:tcPr>
            <w:tcW w:w="640" w:type="dxa"/>
            <w:vAlign w:val="bottom"/>
            <w:shd w:val="clear" w:color="auto" w:fill="C0C0C0"/>
          </w:tcPr>
          <w:p>
            <w:pPr>
              <w:spacing w:after="0"/>
              <w:rPr>
                <w:sz w:val="20"/>
                <w:szCs w:val="20"/>
                <w:color w:val="auto"/>
              </w:rPr>
            </w:pPr>
            <w:r>
              <w:rPr>
                <w:rFonts w:ascii="Arial" w:cs="Arial" w:eastAsia="Arial" w:hAnsi="Arial"/>
                <w:sz w:val="18"/>
                <w:szCs w:val="18"/>
                <w:color w:val="auto"/>
              </w:rPr>
              <w:t>32.1</w:t>
            </w:r>
          </w:p>
        </w:tc>
        <w:tc>
          <w:tcPr>
            <w:tcW w:w="260" w:type="dxa"/>
            <w:vAlign w:val="bottom"/>
            <w:shd w:val="clear" w:color="auto" w:fill="C0C0C0"/>
          </w:tcPr>
          <w:p>
            <w:pPr>
              <w:spacing w:after="0"/>
              <w:rPr>
                <w:sz w:val="19"/>
                <w:szCs w:val="19"/>
                <w:color w:val="auto"/>
              </w:rPr>
            </w:pPr>
          </w:p>
        </w:tc>
        <w:tc>
          <w:tcPr>
            <w:tcW w:w="9500" w:type="dxa"/>
            <w:vAlign w:val="bottom"/>
            <w:shd w:val="clear" w:color="auto" w:fill="C0C0C0"/>
          </w:tcPr>
          <w:p>
            <w:pPr>
              <w:spacing w:after="0"/>
              <w:rPr>
                <w:sz w:val="20"/>
                <w:szCs w:val="20"/>
                <w:color w:val="auto"/>
              </w:rPr>
            </w:pPr>
            <w:r>
              <w:rPr>
                <w:rFonts w:ascii="Arial" w:cs="Arial" w:eastAsia="Arial" w:hAnsi="Arial"/>
                <w:sz w:val="18"/>
                <w:szCs w:val="18"/>
                <w:color w:val="auto"/>
                <w:w w:val="89"/>
              </w:rPr>
              <w:t>Certification of Chief Executive Officer pursuant to 18 U.S.C. Section 1350 as adopted pursuant to Section 906 of the Sarbanes-Oxley</w:t>
            </w:r>
          </w:p>
        </w:tc>
      </w:tr>
      <w:tr>
        <w:trPr>
          <w:trHeight w:val="259"/>
        </w:trPr>
        <w:tc>
          <w:tcPr>
            <w:tcW w:w="480" w:type="dxa"/>
            <w:vAlign w:val="bottom"/>
          </w:tcPr>
          <w:p>
            <w:pPr>
              <w:spacing w:after="0"/>
              <w:rPr>
                <w:sz w:val="22"/>
                <w:szCs w:val="22"/>
                <w:color w:val="auto"/>
              </w:rPr>
            </w:pPr>
          </w:p>
        </w:tc>
        <w:tc>
          <w:tcPr>
            <w:tcW w:w="640" w:type="dxa"/>
            <w:vAlign w:val="bottom"/>
            <w:shd w:val="clear" w:color="auto" w:fill="C0C0C0"/>
          </w:tcPr>
          <w:p>
            <w:pPr>
              <w:spacing w:after="0"/>
              <w:rPr>
                <w:sz w:val="22"/>
                <w:szCs w:val="22"/>
                <w:color w:val="auto"/>
              </w:rPr>
            </w:pPr>
          </w:p>
        </w:tc>
        <w:tc>
          <w:tcPr>
            <w:tcW w:w="260" w:type="dxa"/>
            <w:vAlign w:val="bottom"/>
            <w:shd w:val="clear" w:color="auto" w:fill="C0C0C0"/>
          </w:tcPr>
          <w:p>
            <w:pPr>
              <w:spacing w:after="0"/>
              <w:rPr>
                <w:sz w:val="22"/>
                <w:szCs w:val="22"/>
                <w:color w:val="auto"/>
              </w:rPr>
            </w:pPr>
          </w:p>
        </w:tc>
        <w:tc>
          <w:tcPr>
            <w:tcW w:w="9500" w:type="dxa"/>
            <w:vAlign w:val="bottom"/>
            <w:shd w:val="clear" w:color="auto" w:fill="C0C0C0"/>
          </w:tcPr>
          <w:p>
            <w:pPr>
              <w:spacing w:after="0"/>
              <w:rPr>
                <w:sz w:val="20"/>
                <w:szCs w:val="20"/>
                <w:color w:val="auto"/>
              </w:rPr>
            </w:pPr>
            <w:r>
              <w:rPr>
                <w:rFonts w:ascii="Arial" w:cs="Arial" w:eastAsia="Arial" w:hAnsi="Arial"/>
                <w:sz w:val="18"/>
                <w:szCs w:val="18"/>
                <w:color w:val="auto"/>
              </w:rPr>
              <w:t>Act of 2002.</w:t>
            </w:r>
          </w:p>
        </w:tc>
      </w:tr>
      <w:tr>
        <w:trPr>
          <w:trHeight w:val="243"/>
        </w:trPr>
        <w:tc>
          <w:tcPr>
            <w:tcW w:w="4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500" w:type="dxa"/>
            <w:vAlign w:val="bottom"/>
          </w:tcPr>
          <w:p>
            <w:pPr>
              <w:spacing w:after="0"/>
              <w:rPr>
                <w:sz w:val="21"/>
                <w:szCs w:val="21"/>
                <w:color w:val="auto"/>
              </w:rPr>
            </w:pPr>
          </w:p>
        </w:tc>
      </w:tr>
      <w:tr>
        <w:trPr>
          <w:trHeight w:val="228"/>
        </w:trPr>
        <w:tc>
          <w:tcPr>
            <w:tcW w:w="480" w:type="dxa"/>
            <w:vAlign w:val="bottom"/>
          </w:tcPr>
          <w:p>
            <w:pPr>
              <w:spacing w:after="0"/>
              <w:rPr>
                <w:sz w:val="19"/>
                <w:szCs w:val="19"/>
                <w:color w:val="auto"/>
              </w:rPr>
            </w:pPr>
          </w:p>
        </w:tc>
        <w:tc>
          <w:tcPr>
            <w:tcW w:w="640" w:type="dxa"/>
            <w:vAlign w:val="bottom"/>
            <w:shd w:val="clear" w:color="auto" w:fill="C0C0C0"/>
          </w:tcPr>
          <w:p>
            <w:pPr>
              <w:spacing w:after="0"/>
              <w:rPr>
                <w:sz w:val="20"/>
                <w:szCs w:val="20"/>
                <w:color w:val="auto"/>
              </w:rPr>
            </w:pPr>
            <w:r>
              <w:rPr>
                <w:rFonts w:ascii="Arial" w:cs="Arial" w:eastAsia="Arial" w:hAnsi="Arial"/>
                <w:sz w:val="18"/>
                <w:szCs w:val="18"/>
                <w:color w:val="auto"/>
              </w:rPr>
              <w:t>32.2</w:t>
            </w:r>
          </w:p>
        </w:tc>
        <w:tc>
          <w:tcPr>
            <w:tcW w:w="260" w:type="dxa"/>
            <w:vAlign w:val="bottom"/>
            <w:shd w:val="clear" w:color="auto" w:fill="C0C0C0"/>
          </w:tcPr>
          <w:p>
            <w:pPr>
              <w:spacing w:after="0"/>
              <w:rPr>
                <w:sz w:val="19"/>
                <w:szCs w:val="19"/>
                <w:color w:val="auto"/>
              </w:rPr>
            </w:pPr>
          </w:p>
        </w:tc>
        <w:tc>
          <w:tcPr>
            <w:tcW w:w="9500" w:type="dxa"/>
            <w:vAlign w:val="bottom"/>
            <w:shd w:val="clear" w:color="auto" w:fill="C0C0C0"/>
          </w:tcPr>
          <w:p>
            <w:pPr>
              <w:spacing w:after="0"/>
              <w:rPr>
                <w:sz w:val="20"/>
                <w:szCs w:val="20"/>
                <w:color w:val="auto"/>
              </w:rPr>
            </w:pPr>
            <w:r>
              <w:rPr>
                <w:rFonts w:ascii="Arial" w:cs="Arial" w:eastAsia="Arial" w:hAnsi="Arial"/>
                <w:sz w:val="18"/>
                <w:szCs w:val="18"/>
                <w:color w:val="auto"/>
                <w:w w:val="89"/>
              </w:rPr>
              <w:t>Certification of Chief Financial Officer pursuant to 18 U.S.C. Section 1350 as adopted pursuant to Section 906 of the Sarbanes-Oxley</w:t>
            </w:r>
          </w:p>
        </w:tc>
      </w:tr>
      <w:tr>
        <w:trPr>
          <w:trHeight w:val="259"/>
        </w:trPr>
        <w:tc>
          <w:tcPr>
            <w:tcW w:w="480" w:type="dxa"/>
            <w:vAlign w:val="bottom"/>
          </w:tcPr>
          <w:p>
            <w:pPr>
              <w:spacing w:after="0"/>
              <w:rPr>
                <w:sz w:val="22"/>
                <w:szCs w:val="22"/>
                <w:color w:val="auto"/>
              </w:rPr>
            </w:pPr>
          </w:p>
        </w:tc>
        <w:tc>
          <w:tcPr>
            <w:tcW w:w="640" w:type="dxa"/>
            <w:vAlign w:val="bottom"/>
            <w:shd w:val="clear" w:color="auto" w:fill="C0C0C0"/>
          </w:tcPr>
          <w:p>
            <w:pPr>
              <w:spacing w:after="0"/>
              <w:rPr>
                <w:sz w:val="22"/>
                <w:szCs w:val="22"/>
                <w:color w:val="auto"/>
              </w:rPr>
            </w:pPr>
          </w:p>
        </w:tc>
        <w:tc>
          <w:tcPr>
            <w:tcW w:w="260" w:type="dxa"/>
            <w:vAlign w:val="bottom"/>
            <w:shd w:val="clear" w:color="auto" w:fill="C0C0C0"/>
          </w:tcPr>
          <w:p>
            <w:pPr>
              <w:spacing w:after="0"/>
              <w:rPr>
                <w:sz w:val="22"/>
                <w:szCs w:val="22"/>
                <w:color w:val="auto"/>
              </w:rPr>
            </w:pPr>
          </w:p>
        </w:tc>
        <w:tc>
          <w:tcPr>
            <w:tcW w:w="9500" w:type="dxa"/>
            <w:vAlign w:val="bottom"/>
            <w:shd w:val="clear" w:color="auto" w:fill="C0C0C0"/>
          </w:tcPr>
          <w:p>
            <w:pPr>
              <w:spacing w:after="0"/>
              <w:rPr>
                <w:sz w:val="20"/>
                <w:szCs w:val="20"/>
                <w:color w:val="auto"/>
              </w:rPr>
            </w:pPr>
            <w:r>
              <w:rPr>
                <w:rFonts w:ascii="Arial" w:cs="Arial" w:eastAsia="Arial" w:hAnsi="Arial"/>
                <w:sz w:val="18"/>
                <w:szCs w:val="18"/>
                <w:color w:val="auto"/>
              </w:rPr>
              <w:t>Act of 2002.</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85" w:lineRule="exact"/>
        <w:rPr>
          <w:sz w:val="20"/>
          <w:szCs w:val="20"/>
          <w:color w:val="auto"/>
        </w:rPr>
      </w:pPr>
    </w:p>
    <w:p>
      <w:pPr>
        <w:ind w:right="160" w:firstLine="27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40" w:type="dxa"/>
            <w:vAlign w:val="bottom"/>
          </w:tcPr>
          <w:p>
            <w:pPr>
              <w:spacing w:after="0"/>
              <w:rPr>
                <w:sz w:val="19"/>
                <w:szCs w:val="19"/>
                <w:color w:val="auto"/>
              </w:rPr>
            </w:pPr>
          </w:p>
        </w:tc>
        <w:tc>
          <w:tcPr>
            <w:tcW w:w="2080" w:type="dxa"/>
            <w:vAlign w:val="bottom"/>
          </w:tcPr>
          <w:p>
            <w:pPr>
              <w:jc w:val="center"/>
              <w:spacing w:after="0"/>
              <w:rPr>
                <w:sz w:val="20"/>
                <w:szCs w:val="20"/>
                <w:color w:val="auto"/>
              </w:rPr>
            </w:pPr>
            <w:r>
              <w:rPr>
                <w:rFonts w:ascii="Arial" w:cs="Arial" w:eastAsia="Arial" w:hAnsi="Arial"/>
                <w:sz w:val="18"/>
                <w:szCs w:val="18"/>
                <w:color w:val="auto"/>
                <w:w w:val="90"/>
              </w:rPr>
              <w:t>Photronics, Inc.</w:t>
            </w:r>
          </w:p>
        </w:tc>
      </w:tr>
      <w:tr>
        <w:trPr>
          <w:trHeight w:val="243"/>
        </w:trPr>
        <w:tc>
          <w:tcPr>
            <w:tcW w:w="540" w:type="dxa"/>
            <w:vAlign w:val="bottom"/>
          </w:tcPr>
          <w:p>
            <w:pPr>
              <w:spacing w:after="0"/>
              <w:rPr>
                <w:sz w:val="21"/>
                <w:szCs w:val="21"/>
                <w:color w:val="auto"/>
              </w:rPr>
            </w:pPr>
          </w:p>
        </w:tc>
        <w:tc>
          <w:tcPr>
            <w:tcW w:w="2080" w:type="dxa"/>
            <w:vAlign w:val="bottom"/>
          </w:tcPr>
          <w:p>
            <w:pPr>
              <w:jc w:val="center"/>
              <w:spacing w:after="0"/>
              <w:rPr>
                <w:sz w:val="20"/>
                <w:szCs w:val="20"/>
                <w:color w:val="auto"/>
              </w:rPr>
            </w:pPr>
            <w:r>
              <w:rPr>
                <w:rFonts w:ascii="Arial" w:cs="Arial" w:eastAsia="Arial" w:hAnsi="Arial"/>
                <w:sz w:val="18"/>
                <w:szCs w:val="18"/>
                <w:color w:val="auto"/>
                <w:w w:val="89"/>
              </w:rPr>
              <w:t>(Registrant)</w:t>
            </w:r>
          </w:p>
        </w:tc>
      </w:tr>
      <w:tr>
        <w:trPr>
          <w:trHeight w:val="495"/>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SEAN T. SMITH</w:t>
            </w:r>
          </w:p>
        </w:tc>
      </w:tr>
      <w:tr>
        <w:trPr>
          <w:trHeight w:val="228"/>
        </w:trPr>
        <w:tc>
          <w:tcPr>
            <w:tcW w:w="540" w:type="dxa"/>
            <w:vAlign w:val="bottom"/>
          </w:tcPr>
          <w:p>
            <w:pPr>
              <w:spacing w:after="0"/>
              <w:rPr>
                <w:sz w:val="19"/>
                <w:szCs w:val="19"/>
                <w:color w:val="auto"/>
              </w:rPr>
            </w:pPr>
          </w:p>
        </w:tc>
        <w:tc>
          <w:tcPr>
            <w:tcW w:w="2080" w:type="dxa"/>
            <w:vAlign w:val="bottom"/>
          </w:tcPr>
          <w:p>
            <w:pPr>
              <w:jc w:val="center"/>
              <w:spacing w:after="0"/>
              <w:rPr>
                <w:sz w:val="20"/>
                <w:szCs w:val="20"/>
                <w:color w:val="auto"/>
              </w:rPr>
            </w:pPr>
            <w:r>
              <w:rPr>
                <w:rFonts w:ascii="Arial" w:cs="Arial" w:eastAsia="Arial" w:hAnsi="Arial"/>
                <w:sz w:val="18"/>
                <w:szCs w:val="18"/>
                <w:color w:val="auto"/>
                <w:w w:val="87"/>
              </w:rPr>
              <w:t>Sean T. Smith</w:t>
            </w:r>
          </w:p>
        </w:tc>
      </w:tr>
      <w:tr>
        <w:trPr>
          <w:trHeight w:val="243"/>
        </w:trPr>
        <w:tc>
          <w:tcPr>
            <w:tcW w:w="540" w:type="dxa"/>
            <w:vAlign w:val="bottom"/>
          </w:tcPr>
          <w:p>
            <w:pPr>
              <w:spacing w:after="0"/>
              <w:rPr>
                <w:sz w:val="21"/>
                <w:szCs w:val="21"/>
                <w:color w:val="auto"/>
              </w:rPr>
            </w:pPr>
          </w:p>
        </w:tc>
        <w:tc>
          <w:tcPr>
            <w:tcW w:w="2080" w:type="dxa"/>
            <w:vAlign w:val="bottom"/>
          </w:tcPr>
          <w:p>
            <w:pPr>
              <w:jc w:val="center"/>
              <w:spacing w:after="0"/>
              <w:rPr>
                <w:sz w:val="20"/>
                <w:szCs w:val="20"/>
                <w:color w:val="auto"/>
              </w:rPr>
            </w:pPr>
            <w:r>
              <w:rPr>
                <w:rFonts w:ascii="Arial" w:cs="Arial" w:eastAsia="Arial" w:hAnsi="Arial"/>
                <w:sz w:val="18"/>
                <w:szCs w:val="18"/>
                <w:color w:val="auto"/>
                <w:w w:val="87"/>
              </w:rPr>
              <w:t>Senior Vice President</w:t>
            </w:r>
          </w:p>
        </w:tc>
      </w:tr>
      <w:tr>
        <w:trPr>
          <w:trHeight w:val="243"/>
        </w:trPr>
        <w:tc>
          <w:tcPr>
            <w:tcW w:w="540" w:type="dxa"/>
            <w:vAlign w:val="bottom"/>
          </w:tcPr>
          <w:p>
            <w:pPr>
              <w:spacing w:after="0"/>
              <w:rPr>
                <w:sz w:val="21"/>
                <w:szCs w:val="21"/>
                <w:color w:val="auto"/>
              </w:rPr>
            </w:pPr>
          </w:p>
        </w:tc>
        <w:tc>
          <w:tcPr>
            <w:tcW w:w="2080" w:type="dxa"/>
            <w:vAlign w:val="bottom"/>
          </w:tcPr>
          <w:p>
            <w:pPr>
              <w:jc w:val="center"/>
              <w:spacing w:after="0"/>
              <w:rPr>
                <w:sz w:val="20"/>
                <w:szCs w:val="20"/>
                <w:color w:val="auto"/>
              </w:rPr>
            </w:pPr>
            <w:r>
              <w:rPr>
                <w:rFonts w:ascii="Arial" w:cs="Arial" w:eastAsia="Arial" w:hAnsi="Arial"/>
                <w:sz w:val="18"/>
                <w:szCs w:val="18"/>
                <w:color w:val="auto"/>
                <w:w w:val="92"/>
              </w:rPr>
              <w:t>Chief Financial Officer</w:t>
            </w:r>
          </w:p>
        </w:tc>
      </w:tr>
      <w:tr>
        <w:trPr>
          <w:trHeight w:val="243"/>
        </w:trPr>
        <w:tc>
          <w:tcPr>
            <w:tcW w:w="540" w:type="dxa"/>
            <w:vAlign w:val="bottom"/>
          </w:tcPr>
          <w:p>
            <w:pPr>
              <w:spacing w:after="0"/>
              <w:rPr>
                <w:sz w:val="21"/>
                <w:szCs w:val="21"/>
                <w:color w:val="auto"/>
              </w:rPr>
            </w:pPr>
          </w:p>
        </w:tc>
        <w:tc>
          <w:tcPr>
            <w:tcW w:w="2080" w:type="dxa"/>
            <w:vAlign w:val="bottom"/>
          </w:tcPr>
          <w:p>
            <w:pPr>
              <w:jc w:val="center"/>
              <w:spacing w:after="0"/>
              <w:rPr>
                <w:sz w:val="20"/>
                <w:szCs w:val="20"/>
                <w:color w:val="auto"/>
              </w:rPr>
            </w:pPr>
            <w:r>
              <w:rPr>
                <w:rFonts w:ascii="Arial" w:cs="Arial" w:eastAsia="Arial" w:hAnsi="Arial"/>
                <w:sz w:val="18"/>
                <w:szCs w:val="18"/>
                <w:color w:val="auto"/>
                <w:w w:val="91"/>
              </w:rPr>
              <w:t>(Duly Authorized Officer and</w:t>
            </w:r>
          </w:p>
        </w:tc>
      </w:tr>
      <w:tr>
        <w:trPr>
          <w:trHeight w:val="243"/>
        </w:trPr>
        <w:tc>
          <w:tcPr>
            <w:tcW w:w="540" w:type="dxa"/>
            <w:vAlign w:val="bottom"/>
          </w:tcPr>
          <w:p>
            <w:pPr>
              <w:spacing w:after="0"/>
              <w:rPr>
                <w:sz w:val="21"/>
                <w:szCs w:val="21"/>
                <w:color w:val="auto"/>
              </w:rPr>
            </w:pPr>
          </w:p>
        </w:tc>
        <w:tc>
          <w:tcPr>
            <w:tcW w:w="2080" w:type="dxa"/>
            <w:vAlign w:val="bottom"/>
          </w:tcPr>
          <w:p>
            <w:pPr>
              <w:jc w:val="center"/>
              <w:spacing w:after="0"/>
              <w:rPr>
                <w:sz w:val="20"/>
                <w:szCs w:val="20"/>
                <w:color w:val="auto"/>
              </w:rPr>
            </w:pPr>
            <w:r>
              <w:rPr>
                <w:rFonts w:ascii="Arial" w:cs="Arial" w:eastAsia="Arial" w:hAnsi="Arial"/>
                <w:sz w:val="18"/>
                <w:szCs w:val="18"/>
                <w:color w:val="auto"/>
                <w:w w:val="92"/>
              </w:rPr>
              <w:t>Principal Financial Officer)</w:t>
            </w:r>
          </w:p>
        </w:tc>
      </w:tr>
    </w:tbl>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Date: March 3, 2011</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EXHIBIT 31.1</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I, Constantine S. Macricostas, certify that:</w:t>
      </w:r>
    </w:p>
    <w:p>
      <w:pPr>
        <w:spacing w:after="0" w:line="252" w:lineRule="exact"/>
        <w:rPr>
          <w:sz w:val="20"/>
          <w:szCs w:val="20"/>
          <w:color w:val="auto"/>
        </w:rPr>
      </w:pPr>
    </w:p>
    <w:p>
      <w:pPr>
        <w:ind w:left="420" w:hanging="412"/>
        <w:spacing w:after="0"/>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Photronics, Inc.</w:t>
      </w:r>
    </w:p>
    <w:p>
      <w:pPr>
        <w:spacing w:after="0" w:line="279" w:lineRule="exact"/>
        <w:rPr>
          <w:rFonts w:ascii="Arial" w:cs="Arial" w:eastAsia="Arial" w:hAnsi="Arial"/>
          <w:sz w:val="18"/>
          <w:szCs w:val="18"/>
          <w:color w:val="auto"/>
        </w:rPr>
      </w:pPr>
    </w:p>
    <w:p>
      <w:pPr>
        <w:ind w:left="420" w:hanging="412"/>
        <w:spacing w:after="0" w:line="332" w:lineRule="auto"/>
        <w:tabs>
          <w:tab w:leader="none" w:pos="420" w:val="left"/>
        </w:tabs>
        <w:numPr>
          <w:ilvl w:val="0"/>
          <w:numId w:val="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6" w:lineRule="exact"/>
        <w:rPr>
          <w:rFonts w:ascii="Arial" w:cs="Arial" w:eastAsia="Arial" w:hAnsi="Arial"/>
          <w:sz w:val="16"/>
          <w:szCs w:val="16"/>
          <w:color w:val="auto"/>
        </w:rPr>
      </w:pPr>
    </w:p>
    <w:p>
      <w:pPr>
        <w:ind w:left="420" w:right="100" w:hanging="412"/>
        <w:spacing w:after="0" w:line="268" w:lineRule="auto"/>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2" w:lineRule="exact"/>
        <w:rPr>
          <w:rFonts w:ascii="Arial" w:cs="Arial" w:eastAsia="Arial" w:hAnsi="Arial"/>
          <w:sz w:val="18"/>
          <w:szCs w:val="18"/>
          <w:color w:val="auto"/>
        </w:rPr>
      </w:pPr>
    </w:p>
    <w:p>
      <w:pPr>
        <w:ind w:left="420" w:right="260" w:hanging="412"/>
        <w:spacing w:after="0" w:line="259" w:lineRule="auto"/>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1" w:lineRule="exact"/>
        <w:rPr>
          <w:rFonts w:ascii="Arial" w:cs="Arial" w:eastAsia="Arial" w:hAnsi="Arial"/>
          <w:sz w:val="18"/>
          <w:szCs w:val="18"/>
          <w:color w:val="auto"/>
        </w:rPr>
      </w:pPr>
    </w:p>
    <w:p>
      <w:pPr>
        <w:ind w:left="840" w:right="160" w:hanging="427"/>
        <w:spacing w:after="0" w:line="259" w:lineRule="auto"/>
        <w:tabs>
          <w:tab w:leader="none" w:pos="840" w:val="left"/>
        </w:tabs>
        <w:numPr>
          <w:ilvl w:val="1"/>
          <w:numId w:val="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1" w:lineRule="exact"/>
        <w:rPr>
          <w:rFonts w:ascii="Arial" w:cs="Arial" w:eastAsia="Arial" w:hAnsi="Arial"/>
          <w:sz w:val="18"/>
          <w:szCs w:val="18"/>
          <w:color w:val="auto"/>
        </w:rPr>
      </w:pPr>
    </w:p>
    <w:p>
      <w:pPr>
        <w:ind w:left="840" w:right="160" w:hanging="427"/>
        <w:spacing w:after="0" w:line="259" w:lineRule="auto"/>
        <w:tabs>
          <w:tab w:leader="none" w:pos="840" w:val="left"/>
        </w:tabs>
        <w:numPr>
          <w:ilvl w:val="1"/>
          <w:numId w:val="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1" w:lineRule="exact"/>
        <w:rPr>
          <w:rFonts w:ascii="Arial" w:cs="Arial" w:eastAsia="Arial" w:hAnsi="Arial"/>
          <w:sz w:val="18"/>
          <w:szCs w:val="18"/>
          <w:color w:val="auto"/>
        </w:rPr>
      </w:pPr>
    </w:p>
    <w:p>
      <w:pPr>
        <w:ind w:left="840" w:right="20" w:hanging="427"/>
        <w:spacing w:after="0" w:line="332" w:lineRule="auto"/>
        <w:tabs>
          <w:tab w:leader="none" w:pos="840" w:val="left"/>
        </w:tabs>
        <w:numPr>
          <w:ilvl w:val="1"/>
          <w:numId w:val="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Arial" w:cs="Arial" w:eastAsia="Arial" w:hAnsi="Arial"/>
          <w:sz w:val="16"/>
          <w:szCs w:val="16"/>
          <w:color w:val="auto"/>
        </w:rPr>
      </w:pPr>
    </w:p>
    <w:p>
      <w:pPr>
        <w:ind w:left="840" w:right="40" w:hanging="427"/>
        <w:spacing w:after="0" w:line="259" w:lineRule="auto"/>
        <w:tabs>
          <w:tab w:leader="none" w:pos="840" w:val="left"/>
        </w:tabs>
        <w:numPr>
          <w:ilvl w:val="1"/>
          <w:numId w:val="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1" w:lineRule="exact"/>
        <w:rPr>
          <w:rFonts w:ascii="Arial" w:cs="Arial" w:eastAsia="Arial" w:hAnsi="Arial"/>
          <w:sz w:val="18"/>
          <w:szCs w:val="18"/>
          <w:color w:val="auto"/>
        </w:rPr>
      </w:pPr>
    </w:p>
    <w:p>
      <w:pPr>
        <w:ind w:left="420" w:right="700" w:hanging="412"/>
        <w:spacing w:after="0" w:line="332" w:lineRule="auto"/>
        <w:tabs>
          <w:tab w:leader="none" w:pos="4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6" w:lineRule="exact"/>
        <w:rPr>
          <w:rFonts w:ascii="Arial" w:cs="Arial" w:eastAsia="Arial" w:hAnsi="Arial"/>
          <w:sz w:val="16"/>
          <w:szCs w:val="16"/>
          <w:color w:val="auto"/>
        </w:rPr>
      </w:pPr>
    </w:p>
    <w:p>
      <w:pPr>
        <w:ind w:left="840" w:right="140" w:hanging="427"/>
        <w:spacing w:after="0" w:line="268" w:lineRule="auto"/>
        <w:tabs>
          <w:tab w:leader="none" w:pos="840" w:val="left"/>
        </w:tabs>
        <w:numPr>
          <w:ilvl w:val="1"/>
          <w:numId w:val="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2" w:lineRule="exact"/>
        <w:rPr>
          <w:rFonts w:ascii="Arial" w:cs="Arial" w:eastAsia="Arial" w:hAnsi="Arial"/>
          <w:sz w:val="18"/>
          <w:szCs w:val="18"/>
          <w:color w:val="auto"/>
        </w:rPr>
      </w:pPr>
    </w:p>
    <w:p>
      <w:pPr>
        <w:ind w:left="840" w:right="200" w:hanging="427"/>
        <w:spacing w:after="0" w:line="268" w:lineRule="auto"/>
        <w:tabs>
          <w:tab w:leader="none" w:pos="840" w:val="left"/>
        </w:tabs>
        <w:numPr>
          <w:ilvl w:val="1"/>
          <w:numId w:val="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 CONSTANTINE S. MACRICOSTAS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183515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835150" cy="889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Constantine S. Macricostas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March 3,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240665</wp:posOffset>
            </wp:positionV>
            <wp:extent cx="7267575"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EXHIBIT 31.2</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I, Sean T. Smith, certify that:</w:t>
      </w:r>
    </w:p>
    <w:p>
      <w:pPr>
        <w:spacing w:after="0" w:line="252" w:lineRule="exact"/>
        <w:rPr>
          <w:sz w:val="20"/>
          <w:szCs w:val="20"/>
          <w:color w:val="auto"/>
        </w:rPr>
      </w:pPr>
    </w:p>
    <w:p>
      <w:pPr>
        <w:ind w:left="420" w:hanging="412"/>
        <w:spacing w:after="0"/>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Photronics, Inc.</w:t>
      </w:r>
    </w:p>
    <w:p>
      <w:pPr>
        <w:spacing w:after="0" w:line="279" w:lineRule="exact"/>
        <w:rPr>
          <w:rFonts w:ascii="Arial" w:cs="Arial" w:eastAsia="Arial" w:hAnsi="Arial"/>
          <w:sz w:val="18"/>
          <w:szCs w:val="18"/>
          <w:color w:val="auto"/>
        </w:rPr>
      </w:pPr>
    </w:p>
    <w:p>
      <w:pPr>
        <w:ind w:left="420" w:hanging="412"/>
        <w:spacing w:after="0" w:line="332" w:lineRule="auto"/>
        <w:tabs>
          <w:tab w:leader="none" w:pos="420" w:val="left"/>
        </w:tabs>
        <w:numPr>
          <w:ilvl w:val="0"/>
          <w:numId w:val="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6" w:lineRule="exact"/>
        <w:rPr>
          <w:rFonts w:ascii="Arial" w:cs="Arial" w:eastAsia="Arial" w:hAnsi="Arial"/>
          <w:sz w:val="16"/>
          <w:szCs w:val="16"/>
          <w:color w:val="auto"/>
        </w:rPr>
      </w:pPr>
    </w:p>
    <w:p>
      <w:pPr>
        <w:ind w:left="420" w:right="100" w:hanging="412"/>
        <w:spacing w:after="0" w:line="268" w:lineRule="auto"/>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2" w:lineRule="exact"/>
        <w:rPr>
          <w:rFonts w:ascii="Arial" w:cs="Arial" w:eastAsia="Arial" w:hAnsi="Arial"/>
          <w:sz w:val="18"/>
          <w:szCs w:val="18"/>
          <w:color w:val="auto"/>
        </w:rPr>
      </w:pPr>
    </w:p>
    <w:p>
      <w:pPr>
        <w:ind w:left="420" w:right="260" w:hanging="412"/>
        <w:spacing w:after="0" w:line="259" w:lineRule="auto"/>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1" w:lineRule="exact"/>
        <w:rPr>
          <w:rFonts w:ascii="Arial" w:cs="Arial" w:eastAsia="Arial" w:hAnsi="Arial"/>
          <w:sz w:val="18"/>
          <w:szCs w:val="18"/>
          <w:color w:val="auto"/>
        </w:rPr>
      </w:pPr>
    </w:p>
    <w:p>
      <w:pPr>
        <w:ind w:left="840" w:right="160" w:hanging="427"/>
        <w:spacing w:after="0" w:line="259" w:lineRule="auto"/>
        <w:tabs>
          <w:tab w:leader="none" w:pos="84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1" w:lineRule="exact"/>
        <w:rPr>
          <w:rFonts w:ascii="Arial" w:cs="Arial" w:eastAsia="Arial" w:hAnsi="Arial"/>
          <w:sz w:val="18"/>
          <w:szCs w:val="18"/>
          <w:color w:val="auto"/>
        </w:rPr>
      </w:pPr>
    </w:p>
    <w:p>
      <w:pPr>
        <w:ind w:left="840" w:right="160" w:hanging="427"/>
        <w:spacing w:after="0" w:line="259" w:lineRule="auto"/>
        <w:tabs>
          <w:tab w:leader="none" w:pos="84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1" w:lineRule="exact"/>
        <w:rPr>
          <w:rFonts w:ascii="Arial" w:cs="Arial" w:eastAsia="Arial" w:hAnsi="Arial"/>
          <w:sz w:val="18"/>
          <w:szCs w:val="18"/>
          <w:color w:val="auto"/>
        </w:rPr>
      </w:pPr>
    </w:p>
    <w:p>
      <w:pPr>
        <w:ind w:left="840" w:right="20" w:hanging="427"/>
        <w:spacing w:after="0" w:line="332" w:lineRule="auto"/>
        <w:tabs>
          <w:tab w:leader="none" w:pos="840" w:val="left"/>
        </w:tabs>
        <w:numPr>
          <w:ilvl w:val="1"/>
          <w:numId w:val="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Arial" w:cs="Arial" w:eastAsia="Arial" w:hAnsi="Arial"/>
          <w:sz w:val="16"/>
          <w:szCs w:val="16"/>
          <w:color w:val="auto"/>
        </w:rPr>
      </w:pPr>
    </w:p>
    <w:p>
      <w:pPr>
        <w:ind w:left="840" w:right="40" w:hanging="427"/>
        <w:spacing w:after="0" w:line="259" w:lineRule="auto"/>
        <w:tabs>
          <w:tab w:leader="none" w:pos="840" w:val="left"/>
        </w:tabs>
        <w:numPr>
          <w:ilvl w:val="1"/>
          <w:numId w:val="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1" w:lineRule="exact"/>
        <w:rPr>
          <w:rFonts w:ascii="Arial" w:cs="Arial" w:eastAsia="Arial" w:hAnsi="Arial"/>
          <w:sz w:val="18"/>
          <w:szCs w:val="18"/>
          <w:color w:val="auto"/>
        </w:rPr>
      </w:pPr>
    </w:p>
    <w:p>
      <w:pPr>
        <w:ind w:left="420" w:right="700" w:hanging="412"/>
        <w:spacing w:after="0" w:line="332" w:lineRule="auto"/>
        <w:tabs>
          <w:tab w:leader="none" w:pos="42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6" w:lineRule="exact"/>
        <w:rPr>
          <w:rFonts w:ascii="Arial" w:cs="Arial" w:eastAsia="Arial" w:hAnsi="Arial"/>
          <w:sz w:val="16"/>
          <w:szCs w:val="16"/>
          <w:color w:val="auto"/>
        </w:rPr>
      </w:pPr>
    </w:p>
    <w:p>
      <w:pPr>
        <w:ind w:left="840" w:right="140" w:hanging="427"/>
        <w:spacing w:after="0" w:line="268" w:lineRule="auto"/>
        <w:tabs>
          <w:tab w:leader="none" w:pos="840" w:val="left"/>
        </w:tabs>
        <w:numPr>
          <w:ilvl w:val="1"/>
          <w:numId w:val="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2" w:lineRule="exact"/>
        <w:rPr>
          <w:rFonts w:ascii="Arial" w:cs="Arial" w:eastAsia="Arial" w:hAnsi="Arial"/>
          <w:sz w:val="18"/>
          <w:szCs w:val="18"/>
          <w:color w:val="auto"/>
        </w:rPr>
      </w:pPr>
    </w:p>
    <w:p>
      <w:pPr>
        <w:ind w:left="840" w:right="200" w:hanging="427"/>
        <w:spacing w:after="0" w:line="268" w:lineRule="auto"/>
        <w:tabs>
          <w:tab w:leader="none" w:pos="840" w:val="left"/>
        </w:tabs>
        <w:numPr>
          <w:ilvl w:val="1"/>
          <w:numId w:val="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 SEAN T.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144907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Sean T. Smith</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March 3,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240665</wp:posOffset>
            </wp:positionV>
            <wp:extent cx="7267575"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EXHIBIT 32.1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1350 Certification of the Chief Executive Officer</w:t>
      </w: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color w:val="auto"/>
        </w:rPr>
        <w:t>I, Constantine S. Macricostas, Chief Executive Officer of Photronics, Inc. (the "Company"), certify, to my knowledge, pursuant to Section 906 of the Sarbanes-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Oxley Act of 2002, 18 U.S.C. Section 1350, that:</w:t>
      </w:r>
    </w:p>
    <w:p>
      <w:pPr>
        <w:spacing w:after="0" w:line="246" w:lineRule="exact"/>
        <w:rPr>
          <w:sz w:val="20"/>
          <w:szCs w:val="20"/>
          <w:color w:val="auto"/>
        </w:rPr>
      </w:pPr>
    </w:p>
    <w:p>
      <w:pPr>
        <w:ind w:left="500" w:hanging="492"/>
        <w:spacing w:after="0" w:line="268"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January 30, 2011 (the "Report") fully complies with the requirements of Section 13(a) or 15(d) of the Securities Exchange Act of 1934; and</w:t>
      </w:r>
    </w:p>
    <w:p>
      <w:pPr>
        <w:spacing w:after="0" w:line="212" w:lineRule="exact"/>
        <w:rPr>
          <w:rFonts w:ascii="Arial" w:cs="Arial" w:eastAsia="Arial" w:hAnsi="Arial"/>
          <w:sz w:val="18"/>
          <w:szCs w:val="18"/>
          <w:color w:val="auto"/>
        </w:rPr>
      </w:pPr>
    </w:p>
    <w:p>
      <w:pPr>
        <w:ind w:left="500" w:hanging="492"/>
        <w:spacing w:after="0"/>
        <w:tabs>
          <w:tab w:leader="none" w:pos="5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0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foregoing certification is being furnished pursuant to 18 U.S.C. § 1350 and will not be deemed "filed" for purposes of Section 18 of the Exchange Act, or otherwise subject to the liability of that section. Such certification will not be deemed to be incorporated by reference into any filing under the Securities Act or the Exchange Act, except to the extent that the registrant specifically incorporates it by reference."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 CONSTANTINE S. MACRICOSTAS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183515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835150" cy="889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Constantine S. Macricostas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March 3,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240665</wp:posOffset>
            </wp:positionV>
            <wp:extent cx="7267575"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60"/>
          </w:cols>
          <w:pgMar w:left="240" w:top="368" w:right="29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EXHIBIT 32.2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1350 Certification of the Chief Financial Officer</w:t>
      </w:r>
    </w:p>
    <w:p>
      <w:pPr>
        <w:spacing w:after="0" w:line="258"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I, Sean T. Smith, Chief Financial Officer of Photronics, Inc. (the "Company"), certify, to my knowledge, pursuant to Section 906 of the Sarbanes-Oxley Act of 2002, 18 U.S.C. Section 1350, that:</w:t>
      </w:r>
    </w:p>
    <w:p>
      <w:pPr>
        <w:spacing w:after="0" w:line="213" w:lineRule="exact"/>
        <w:rPr>
          <w:sz w:val="20"/>
          <w:szCs w:val="20"/>
          <w:color w:val="auto"/>
        </w:rPr>
      </w:pPr>
    </w:p>
    <w:p>
      <w:pPr>
        <w:ind w:left="500" w:hanging="492"/>
        <w:spacing w:after="0" w:line="268"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January 30, 2011 (the "Report") fully complies with the requirements of Section 13(a) or 15(d) of the Securities Exchange Act of 1934; and</w:t>
      </w:r>
    </w:p>
    <w:p>
      <w:pPr>
        <w:spacing w:after="0" w:line="226" w:lineRule="exact"/>
        <w:rPr>
          <w:rFonts w:ascii="Arial" w:cs="Arial" w:eastAsia="Arial" w:hAnsi="Arial"/>
          <w:sz w:val="18"/>
          <w:szCs w:val="18"/>
          <w:color w:val="auto"/>
        </w:rPr>
      </w:pPr>
    </w:p>
    <w:p>
      <w:pPr>
        <w:ind w:left="500" w:hanging="492"/>
        <w:spacing w:after="0"/>
        <w:tabs>
          <w:tab w:leader="none" w:pos="5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8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foregoing certification is being furnished pursuant to 18 U.S.C. § 1350 and will not be deemed "filed" for purposes of Section 18 of the Exchange Act, or otherwise subject to the liability of that section. Such certification will not be deemed to be incorporated by reference into any filing under the Securities Act or the Exchange Act, except to the extent that the registrant specifically incorporates it by reference."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 SEAN T.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144907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Sean T. Smith</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March 3,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240665</wp:posOffset>
            </wp:positionV>
            <wp:extent cx="7267575"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360"/>
      </w:cols>
      <w:pgMar w:left="240" w:top="368"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x"/>
      <w:numFmt w:val="bullet"/>
      <w:start w:val="1"/>
    </w:lvl>
  </w:abstractNum>
  <w:abstractNum w:abstractNumId="1">
    <w:nsid w:val="625558EC"/>
    <w:multiLevelType w:val="hybridMultilevel"/>
    <w:lvl w:ilvl="0">
      <w:lvlJc w:val="left"/>
      <w:lvlText w:val="o"/>
      <w:numFmt w:val="bullet"/>
      <w:start w:val="1"/>
    </w:lvl>
  </w:abstractNum>
  <w:abstractNum w:abstractNumId="2">
    <w:nsid w:val="238E1F29"/>
    <w:multiLevelType w:val="hybridMultilevel"/>
    <w:lvl w:ilvl="0">
      <w:lvlJc w:val="left"/>
      <w:lvlText w:val="%1."/>
      <w:numFmt w:val="decimal"/>
      <w:start w:val="1"/>
    </w:lvl>
    <w:lvl w:ilvl="1">
      <w:lvlJc w:val="left"/>
      <w:lvlText w:val="%2)"/>
      <w:numFmt w:val="lowerLetter"/>
      <w:start w:val="1"/>
    </w:lvl>
  </w:abstractNum>
  <w:abstractNum w:abstractNumId="3">
    <w:nsid w:val="46E87CCD"/>
    <w:multiLevelType w:val="hybridMultilevel"/>
    <w:lvl w:ilvl="0">
      <w:lvlJc w:val="left"/>
      <w:lvlText w:val="%1."/>
      <w:numFmt w:val="decimal"/>
      <w:start w:val="1"/>
    </w:lvl>
    <w:lvl w:ilvl="1">
      <w:lvlJc w:val="left"/>
      <w:lvlText w:val="%2)"/>
      <w:numFmt w:val="lowerLetter"/>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2019-12-10T08:18:21Z</dcterms:created>
  <dcterms:modified xsi:type="dcterms:W3CDTF">2019-12-10T08:18:21Z</dcterms:modified>
</cp:coreProperties>
</file>