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20" w:right="2040" w:hanging="4012"/>
        <w:spacing w:after="0" w:line="258" w:lineRule="auto"/>
        <w:tabs>
          <w:tab w:leader="none" w:pos="49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April 28, 2019</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OR</w:t>
      </w:r>
    </w:p>
    <w:p>
      <w:pPr>
        <w:spacing w:after="0" w:line="4" w:lineRule="exact"/>
        <w:rPr>
          <w:sz w:val="24"/>
          <w:szCs w:val="24"/>
          <w:color w:val="auto"/>
        </w:rPr>
      </w:pPr>
    </w:p>
    <w:p>
      <w:pPr>
        <w:ind w:left="4180" w:right="2020" w:hanging="4172"/>
        <w:spacing w:after="0" w:line="527" w:lineRule="auto"/>
        <w:tabs>
          <w:tab w:leader="none" w:pos="48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44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jc w:val="both"/>
        <w:ind w:right="22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jc w:val="right"/>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28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p>
      <w:pPr>
        <w:spacing w:after="0" w:line="207" w:lineRule="exact"/>
        <w:tabs>
          <w:tab w:leader="none" w:pos="2620" w:val="left"/>
          <w:tab w:leader="none" w:pos="3440" w:val="left"/>
          <w:tab w:leader="none" w:pos="6060" w:val="left"/>
          <w:tab w:leader="none" w:pos="6840" w:val="left"/>
          <w:tab w:leader="none" w:pos="94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tabs>
          <w:tab w:leader="none" w:pos="2620" w:val="left"/>
          <w:tab w:leader="none" w:pos="3440" w:val="left"/>
          <w:tab w:leader="none" w:pos="60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231F20"/>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PLAB</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0" w:lineRule="exact"/>
        <w:rPr>
          <w:sz w:val="24"/>
          <w:szCs w:val="24"/>
          <w:color w:val="auto"/>
        </w:rPr>
      </w:pPr>
    </w:p>
    <w:p>
      <w:pPr>
        <w:sectPr>
          <w:pgSz w:w="11900" w:h="16838" w:orient="portrait"/>
          <w:cols w:equalWidth="0" w:num="1">
            <w:col w:w="11420"/>
          </w:cols>
          <w:pgMar w:left="240" w:top="535" w:right="239" w:bottom="1440" w:gutter="0" w:footer="0" w:header="0"/>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67,065,655 shares of common stock outstanding as of June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construction of new facilities and assembly of new equipment; dilutive issuances of the Company’s stock;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60" w:type="dxa"/>
            <w:vAlign w:val="bottom"/>
            <w:gridSpan w:val="10"/>
          </w:tcPr>
          <w:p>
            <w:pPr>
              <w:jc w:val="center"/>
              <w:ind w:right="2740"/>
              <w:spacing w:after="0"/>
              <w:rPr>
                <w:sz w:val="20"/>
                <w:szCs w:val="20"/>
                <w:color w:val="auto"/>
              </w:rPr>
            </w:pPr>
            <w:r>
              <w:rPr>
                <w:rFonts w:ascii="Arial" w:cs="Arial" w:eastAsia="Arial" w:hAnsi="Arial"/>
                <w:sz w:val="18"/>
                <w:szCs w:val="18"/>
                <w:b w:val="1"/>
                <w:bCs w:val="1"/>
                <w:color w:val="auto"/>
              </w:rPr>
              <w:t>PHOTRONICS, INC.</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60" w:type="dxa"/>
            <w:vAlign w:val="bottom"/>
            <w:gridSpan w:val="10"/>
          </w:tcPr>
          <w:p>
            <w:pPr>
              <w:jc w:val="center"/>
              <w:ind w:right="276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April 28, 2019 and October 31, 2018</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Income for the Three and Six Months Ended April 28, 2019 and April 29, 2018</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Income for the Three and Six Months Ended April 28, 2019 and April 29,</w:t>
              </w:r>
            </w:hyperlink>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1400" w:type="dxa"/>
            <w:vAlign w:val="bottom"/>
            <w:tcBorders>
              <w:top w:val="single" w:sz="8" w:color="0000EE"/>
              <w:bottom w:val="single" w:sz="8" w:color="CCEEFF"/>
            </w:tcBorders>
            <w:shd w:val="clear" w:color="auto" w:fill="CCEEFF"/>
          </w:tcPr>
          <w:p>
            <w:pPr>
              <w:spacing w:after="0"/>
              <w:rPr>
                <w:sz w:val="18"/>
                <w:szCs w:val="18"/>
                <w:color w:val="auto"/>
              </w:rPr>
            </w:pPr>
          </w:p>
        </w:tc>
        <w:tc>
          <w:tcPr>
            <w:tcW w:w="222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500" w:type="dxa"/>
            <w:vAlign w:val="bottom"/>
            <w:tcBorders>
              <w:top w:val="single" w:sz="8" w:color="0000EE"/>
              <w:bottom w:val="single" w:sz="8" w:color="CCEEFF"/>
            </w:tcBorders>
            <w:shd w:val="clear" w:color="auto" w:fill="CCEEFF"/>
          </w:tcPr>
          <w:p>
            <w:pPr>
              <w:spacing w:after="0"/>
              <w:rPr>
                <w:sz w:val="18"/>
                <w:szCs w:val="18"/>
                <w:color w:val="auto"/>
              </w:rPr>
            </w:pPr>
          </w:p>
        </w:tc>
        <w:tc>
          <w:tcPr>
            <w:tcW w:w="660" w:type="dxa"/>
            <w:vAlign w:val="bottom"/>
            <w:tcBorders>
              <w:top w:val="single" w:sz="8" w:color="0000EE"/>
              <w:bottom w:val="single" w:sz="8" w:color="CCEEFF"/>
            </w:tcBorders>
            <w:shd w:val="clear" w:color="auto" w:fill="CCEEFF"/>
          </w:tcPr>
          <w:p>
            <w:pPr>
              <w:spacing w:after="0"/>
              <w:rPr>
                <w:sz w:val="18"/>
                <w:szCs w:val="18"/>
                <w:color w:val="auto"/>
              </w:rPr>
            </w:pPr>
          </w:p>
        </w:tc>
        <w:tc>
          <w:tcPr>
            <w:tcW w:w="170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78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 for the Three and Six Months Ended April 28, 2019 and April 29, 2018</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Six Months Ended April 28, 2019 and April 29, 2018</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300" w:type="dxa"/>
            <w:vAlign w:val="bottom"/>
            <w:gridSpan w:val="5"/>
          </w:tcPr>
          <w:p>
            <w:pPr>
              <w:ind w:left="400"/>
              <w:spacing w:after="0"/>
              <w:rPr>
                <w:sz w:val="20"/>
                <w:szCs w:val="20"/>
                <w:color w:val="auto"/>
              </w:rPr>
            </w:pPr>
            <w:r>
              <w:rPr>
                <w:rFonts w:ascii="Arial" w:cs="Arial" w:eastAsia="Arial" w:hAnsi="Arial"/>
                <w:sz w:val="18"/>
                <w:szCs w:val="18"/>
                <w:b w:val="1"/>
                <w:bCs w:val="1"/>
                <w:color w:val="auto"/>
              </w:rPr>
              <w:t>OTHER INFORMATION</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7300" w:type="dxa"/>
            <w:vAlign w:val="bottom"/>
            <w:gridSpan w:val="5"/>
          </w:tcPr>
          <w:p>
            <w:pPr>
              <w:ind w:left="4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0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7300" w:type="dxa"/>
            <w:vAlign w:val="bottom"/>
            <w:gridSpan w:val="5"/>
          </w:tcPr>
          <w:p>
            <w:pPr>
              <w:ind w:left="4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30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7300" w:type="dxa"/>
            <w:vAlign w:val="bottom"/>
            <w:gridSpan w:val="5"/>
          </w:tcPr>
          <w:p>
            <w:pPr>
              <w:ind w:left="40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302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4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2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82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2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20" w:type="dxa"/>
            <w:vAlign w:val="bottom"/>
          </w:tcPr>
          <w:p>
            <w:pPr>
              <w:jc w:val="center"/>
              <w:ind w:left="1730"/>
              <w:spacing w:after="0"/>
              <w:rPr>
                <w:sz w:val="20"/>
                <w:szCs w:val="20"/>
                <w:color w:val="auto"/>
              </w:rPr>
            </w:pPr>
            <w:r>
              <w:rPr>
                <w:rFonts w:ascii="Arial" w:cs="Arial" w:eastAsia="Arial" w:hAnsi="Arial"/>
                <w:sz w:val="18"/>
                <w:szCs w:val="18"/>
                <w:b w:val="1"/>
                <w:bCs w:val="1"/>
                <w:color w:val="auto"/>
              </w:rPr>
              <w:t>PHOTRONICS, INC.</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20" w:type="dxa"/>
            <w:vAlign w:val="bottom"/>
          </w:tcPr>
          <w:p>
            <w:pPr>
              <w:jc w:val="center"/>
              <w:ind w:left="17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20" w:type="dxa"/>
            <w:vAlign w:val="bottom"/>
          </w:tcPr>
          <w:p>
            <w:pPr>
              <w:jc w:val="center"/>
              <w:ind w:left="171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20" w:type="dxa"/>
            <w:vAlign w:val="bottom"/>
          </w:tcPr>
          <w:p>
            <w:pPr>
              <w:jc w:val="center"/>
              <w:ind w:left="1710"/>
              <w:spacing w:after="0"/>
              <w:rPr>
                <w:sz w:val="20"/>
                <w:szCs w:val="20"/>
                <w:color w:val="auto"/>
              </w:rPr>
            </w:pPr>
            <w:r>
              <w:rPr>
                <w:rFonts w:ascii="Arial" w:cs="Arial" w:eastAsia="Arial" w:hAnsi="Arial"/>
                <w:sz w:val="18"/>
                <w:szCs w:val="18"/>
                <w:b w:val="1"/>
                <w:bCs w:val="1"/>
                <w:i w:val="1"/>
                <w:iCs w:val="1"/>
                <w:color w:val="auto"/>
                <w:w w:val="87"/>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April 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167,066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$1,360 in 2019 and $1,526 in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4"/>
              </w:rPr>
              <w:t>Other assets</w:t>
            </w:r>
          </w:p>
        </w:tc>
        <w:tc>
          <w:tcPr>
            <w:tcW w:w="7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33,610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8"/>
              </w:rPr>
              <w:t>Total assets</w:t>
            </w:r>
          </w:p>
        </w:tc>
        <w:tc>
          <w:tcPr>
            <w:tcW w:w="78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1,085,238</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1,110,009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58,659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35,921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10,876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69,984 shares issued and 66,289 outstanding at April 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3"/>
          </w:tcPr>
          <w:p>
            <w:pPr>
              <w:ind w:left="280"/>
              <w:spacing w:after="0"/>
              <w:rPr>
                <w:sz w:val="20"/>
                <w:szCs w:val="20"/>
                <w:color w:val="auto"/>
              </w:rPr>
            </w:pPr>
            <w:r>
              <w:rPr>
                <w:rFonts w:ascii="Arial" w:cs="Arial" w:eastAsia="Arial" w:hAnsi="Arial"/>
                <w:sz w:val="18"/>
                <w:szCs w:val="18"/>
                <w:color w:val="auto"/>
              </w:rPr>
              <w:t>2019 and 69,700 shares issued and 67,142 outstanding at October 31, 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Treasury stock, 3,695 shares at April 28, 2019 and 2,558 shares at October 31, 2018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(6,828)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759,671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1,085,238</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780" w:type="dxa"/>
            <w:vAlign w:val="bottom"/>
          </w:tcPr>
          <w:p>
            <w:pPr>
              <w:spacing w:after="0"/>
              <w:rPr>
                <w:sz w:val="24"/>
                <w:szCs w:val="24"/>
                <w:color w:val="auto"/>
              </w:rPr>
            </w:pPr>
          </w:p>
        </w:tc>
        <w:tc>
          <w:tcPr>
            <w:tcW w:w="3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rPr>
              <w:t>PHOTRONICS,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20" w:type="dxa"/>
            <w:vAlign w:val="bottom"/>
            <w:gridSpan w:val="7"/>
          </w:tcPr>
          <w:p>
            <w:pPr>
              <w:jc w:val="center"/>
              <w:ind w:left="337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60" w:type="dxa"/>
            <w:vAlign w:val="bottom"/>
            <w:gridSpan w:val="4"/>
          </w:tcPr>
          <w:p>
            <w:pPr>
              <w:jc w:val="center"/>
              <w:ind w:right="4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40" w:type="dxa"/>
            <w:vAlign w:val="bottom"/>
            <w:gridSpan w:val="2"/>
          </w:tcPr>
          <w:p>
            <w:pPr>
              <w:jc w:val="center"/>
              <w:ind w:left="990"/>
              <w:spacing w:after="0"/>
              <w:rPr>
                <w:sz w:val="20"/>
                <w:szCs w:val="20"/>
                <w:color w:val="auto"/>
              </w:rPr>
            </w:pPr>
            <w:r>
              <w:rPr>
                <w:rFonts w:ascii="Arial" w:cs="Arial" w:eastAsia="Arial" w:hAnsi="Arial"/>
                <w:sz w:val="18"/>
                <w:szCs w:val="18"/>
                <w:b w:val="1"/>
                <w:bCs w:val="1"/>
                <w:i w:val="1"/>
                <w:iCs w:val="1"/>
                <w:color w:val="auto"/>
                <w:w w:val="87"/>
              </w:rPr>
              <w:t>(unaudited)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April 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256,291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15,365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income and other income (expense), net</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18,697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15,189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69,293</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April 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(11,028)</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4,161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11,884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rPr>
              <w:t>PHOTRONICS, INC.</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40" w:type="dxa"/>
            <w:vAlign w:val="bottom"/>
            <w:gridSpan w:val="14"/>
          </w:tcPr>
          <w:p>
            <w:pPr>
              <w:jc w:val="center"/>
              <w:ind w:right="480"/>
              <w:spacing w:after="0"/>
              <w:rPr>
                <w:sz w:val="20"/>
                <w:szCs w:val="20"/>
                <w:color w:val="auto"/>
              </w:rPr>
            </w:pPr>
            <w:r>
              <w:rPr>
                <w:rFonts w:ascii="Arial" w:cs="Arial" w:eastAsia="Arial" w:hAnsi="Arial"/>
                <w:sz w:val="18"/>
                <w:szCs w:val="18"/>
                <w:b w:val="1"/>
                <w:bCs w:val="1"/>
                <w:color w:val="auto"/>
                <w:w w:val="88"/>
              </w:rPr>
              <w:t>Condensed Consolidated Statements of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11"/>
          </w:tcPr>
          <w:p>
            <w:pPr>
              <w:jc w:val="right"/>
              <w:ind w:right="900"/>
              <w:spacing w:after="0"/>
              <w:rPr>
                <w:sz w:val="20"/>
                <w:szCs w:val="20"/>
                <w:color w:val="auto"/>
              </w:rPr>
            </w:pPr>
            <w:r>
              <w:rPr>
                <w:rFonts w:ascii="Arial" w:cs="Arial" w:eastAsia="Arial" w:hAnsi="Arial"/>
                <w:sz w:val="18"/>
                <w:szCs w:val="18"/>
                <w:b w:val="1"/>
                <w:bCs w:val="1"/>
                <w:color w:val="auto"/>
              </w:rPr>
              <w:t>Three Months Ended April 28, 2019</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10"/>
          </w:tcPr>
          <w:p>
            <w:pPr>
              <w:ind w:left="180"/>
              <w:spacing w:after="0"/>
              <w:rPr>
                <w:sz w:val="20"/>
                <w:szCs w:val="20"/>
                <w:color w:val="auto"/>
              </w:rPr>
            </w:pPr>
            <w:r>
              <w:rPr>
                <w:rFonts w:ascii="Arial" w:cs="Arial" w:eastAsia="Arial" w:hAnsi="Arial"/>
                <w:sz w:val="18"/>
                <w:szCs w:val="18"/>
                <w:b w:val="1"/>
                <w:bCs w:val="1"/>
                <w:color w:val="auto"/>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8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84" w:lineRule="exact"/>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3"/>
          </w:tcPr>
          <w:p>
            <w:pPr>
              <w:jc w:val="right"/>
              <w:ind w:right="260"/>
              <w:spacing w:after="0" w:line="184" w:lineRule="exact"/>
              <w:rPr>
                <w:sz w:val="20"/>
                <w:szCs w:val="20"/>
                <w:color w:val="auto"/>
              </w:rPr>
            </w:pPr>
            <w:r>
              <w:rPr>
                <w:rFonts w:ascii="Arial" w:cs="Arial" w:eastAsia="Arial" w:hAnsi="Arial"/>
                <w:sz w:val="18"/>
                <w:szCs w:val="18"/>
                <w:b w:val="1"/>
                <w:bCs w:val="1"/>
                <w:color w:val="auto"/>
                <w:w w:val="94"/>
              </w:rPr>
              <w:t>Retained</w:t>
            </w:r>
          </w:p>
        </w:tc>
        <w:tc>
          <w:tcPr>
            <w:tcW w:w="1000" w:type="dxa"/>
            <w:vAlign w:val="bottom"/>
            <w:gridSpan w:val="3"/>
          </w:tcPr>
          <w:p>
            <w:pPr>
              <w:jc w:val="center"/>
              <w:ind w:right="220"/>
              <w:spacing w:after="0" w:line="184"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84" w:lineRule="exact"/>
              <w:rPr>
                <w:sz w:val="20"/>
                <w:szCs w:val="20"/>
                <w:color w:val="auto"/>
              </w:rPr>
            </w:pPr>
            <w:r>
              <w:rPr>
                <w:rFonts w:ascii="Arial" w:cs="Arial" w:eastAsia="Arial" w:hAnsi="Arial"/>
                <w:sz w:val="18"/>
                <w:szCs w:val="18"/>
                <w:b w:val="1"/>
                <w:bCs w:val="1"/>
                <w:color w:val="auto"/>
                <w:w w:val="88"/>
              </w:rPr>
              <w:t>Comprehensive</w:t>
            </w:r>
          </w:p>
        </w:tc>
        <w:tc>
          <w:tcPr>
            <w:tcW w:w="980" w:type="dxa"/>
            <w:vAlign w:val="bottom"/>
            <w:gridSpan w:val="3"/>
          </w:tcPr>
          <w:p>
            <w:pPr>
              <w:spacing w:after="0" w:line="184" w:lineRule="exact"/>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300"/>
              <w:spacing w:after="0" w:line="18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69,917</w:t>
            </w:r>
          </w:p>
        </w:tc>
        <w:tc>
          <w:tcPr>
            <w:tcW w:w="7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699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557,188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236,665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(7,171)</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employee  stock option and purchase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plans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 vesting and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(18,837)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28, 2019</w:t>
            </w:r>
          </w:p>
        </w:tc>
        <w:tc>
          <w:tcPr>
            <w:tcW w:w="760" w:type="dxa"/>
            <w:vAlign w:val="bottom"/>
          </w:tcPr>
          <w:p>
            <w:pPr>
              <w:jc w:val="right"/>
              <w:spacing w:after="0"/>
              <w:rPr>
                <w:sz w:val="20"/>
                <w:szCs w:val="20"/>
                <w:color w:val="auto"/>
              </w:rPr>
            </w:pPr>
            <w:r>
              <w:rPr>
                <w:rFonts w:ascii="Arial" w:cs="Arial" w:eastAsia="Arial" w:hAnsi="Arial"/>
                <w:sz w:val="18"/>
                <w:szCs w:val="18"/>
                <w:color w:val="auto"/>
              </w:rPr>
              <w:t>69,984</w:t>
            </w:r>
          </w:p>
        </w:tc>
        <w:tc>
          <w:tcPr>
            <w:tcW w:w="7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700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558,359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245,144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(33,807)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134,760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898,328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b w:val="1"/>
                <w:bCs w:val="1"/>
                <w:color w:val="auto"/>
                <w:w w:val="96"/>
              </w:rPr>
              <w:t>Three Months Ended April 29, 2018</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5"/>
              </w:rPr>
              <w:t>Photronics, Inc. Shareholders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3"/>
            <w:vMerge w:val="restart"/>
          </w:tcPr>
          <w:p>
            <w:pPr>
              <w:spacing w:after="0" w:line="198" w:lineRule="exact"/>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jc w:val="center"/>
              <w:ind w:right="420"/>
              <w:spacing w:after="0" w:line="198" w:lineRule="exact"/>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5"/>
                <w:szCs w:val="5"/>
                <w:color w:val="auto"/>
              </w:rPr>
            </w:pPr>
          </w:p>
        </w:tc>
        <w:tc>
          <w:tcPr>
            <w:tcW w:w="820" w:type="dxa"/>
            <w:vAlign w:val="bottom"/>
            <w:gridSpan w:val="2"/>
            <w:vMerge w:val="restart"/>
          </w:tcPr>
          <w:p>
            <w:pPr>
              <w:jc w:val="right"/>
              <w:ind w:right="360"/>
              <w:spacing w:after="0" w:line="198" w:lineRule="exact"/>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549,328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195,288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141,014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(8,372)</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Sale of common stock through employee stock option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purchase plans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Restricted stock awards vesting and expense</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Subsidiary dividend payable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Balance at April 29, 2018</w:t>
            </w:r>
          </w:p>
        </w:tc>
        <w:tc>
          <w:tcPr>
            <w:tcW w:w="760" w:type="dxa"/>
            <w:vAlign w:val="bottom"/>
          </w:tcPr>
          <w:p>
            <w:pPr>
              <w:jc w:val="right"/>
              <w:spacing w:after="0"/>
              <w:rPr>
                <w:sz w:val="20"/>
                <w:szCs w:val="20"/>
                <w:color w:val="auto"/>
              </w:rPr>
            </w:pPr>
            <w:r>
              <w:rPr>
                <w:rFonts w:ascii="Arial" w:cs="Arial" w:eastAsia="Arial" w:hAnsi="Arial"/>
                <w:sz w:val="18"/>
                <w:szCs w:val="18"/>
                <w:color w:val="auto"/>
              </w:rPr>
              <w:t>69,443</w:t>
            </w:r>
          </w:p>
        </w:tc>
        <w:tc>
          <w:tcPr>
            <w:tcW w:w="22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552,977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205,953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23,756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134,686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918,066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10"/>
          </w:tcPr>
          <w:p>
            <w:pPr>
              <w:jc w:val="center"/>
              <w:ind w:right="500"/>
              <w:spacing w:after="0"/>
              <w:rPr>
                <w:sz w:val="20"/>
                <w:szCs w:val="20"/>
                <w:color w:val="auto"/>
              </w:rPr>
            </w:pPr>
            <w:r>
              <w:rPr>
                <w:rFonts w:ascii="Arial" w:cs="Arial" w:eastAsia="Arial" w:hAnsi="Arial"/>
                <w:sz w:val="18"/>
                <w:szCs w:val="18"/>
                <w:b w:val="1"/>
                <w:bCs w:val="1"/>
                <w:color w:val="auto"/>
              </w:rPr>
              <w:t>PHOTRONICS, INC.</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00" w:type="dxa"/>
            <w:vAlign w:val="bottom"/>
            <w:gridSpan w:val="20"/>
          </w:tcPr>
          <w:p>
            <w:pPr>
              <w:jc w:val="center"/>
              <w:ind w:left="190"/>
              <w:spacing w:after="0"/>
              <w:rPr>
                <w:sz w:val="20"/>
                <w:szCs w:val="20"/>
                <w:color w:val="auto"/>
              </w:rPr>
            </w:pPr>
            <w:r>
              <w:rPr>
                <w:rFonts w:ascii="Arial" w:cs="Arial" w:eastAsia="Arial" w:hAnsi="Arial"/>
                <w:sz w:val="18"/>
                <w:szCs w:val="18"/>
                <w:b w:val="1"/>
                <w:bCs w:val="1"/>
                <w:color w:val="auto"/>
                <w:w w:val="88"/>
              </w:rPr>
              <w:t>Condensed Consolidated Statements of Equity (continued)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8"/>
          </w:tcPr>
          <w:p>
            <w:pPr>
              <w:jc w:val="center"/>
              <w:ind w:right="8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1020"/>
              <w:spacing w:after="0"/>
              <w:rPr>
                <w:sz w:val="20"/>
                <w:szCs w:val="20"/>
                <w:color w:val="auto"/>
              </w:rPr>
            </w:pPr>
            <w:r>
              <w:rPr>
                <w:rFonts w:ascii="Arial" w:cs="Arial" w:eastAsia="Arial" w:hAnsi="Arial"/>
                <w:sz w:val="18"/>
                <w:szCs w:val="18"/>
                <w:b w:val="1"/>
                <w:bCs w:val="1"/>
                <w:color w:val="auto"/>
                <w:w w:val="91"/>
              </w:rPr>
              <w:t>Six Months Ended April 28, 2019</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3"/>
          </w:tcPr>
          <w:p>
            <w:pPr>
              <w:jc w:val="right"/>
              <w:ind w:right="760"/>
              <w:spacing w:after="0"/>
              <w:rPr>
                <w:sz w:val="20"/>
                <w:szCs w:val="20"/>
                <w:color w:val="auto"/>
              </w:rPr>
            </w:pPr>
            <w:r>
              <w:rPr>
                <w:rFonts w:ascii="Arial" w:cs="Arial" w:eastAsia="Arial" w:hAnsi="Arial"/>
                <w:sz w:val="18"/>
                <w:szCs w:val="18"/>
                <w:b w:val="1"/>
                <w:bCs w:val="1"/>
                <w:color w:val="auto"/>
                <w:w w:val="95"/>
              </w:rPr>
              <w:t>Photronics, Inc. Shareholders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80" w:type="dxa"/>
            <w:vAlign w:val="bottom"/>
            <w:gridSpan w:val="7"/>
            <w:vMerge w:val="restart"/>
          </w:tcPr>
          <w:p>
            <w:pPr>
              <w:jc w:val="right"/>
              <w:ind w:right="30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80" w:type="dxa"/>
            <w:vAlign w:val="bottom"/>
            <w:gridSpan w:val="7"/>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Retained</w:t>
            </w:r>
          </w:p>
        </w:tc>
        <w:tc>
          <w:tcPr>
            <w:tcW w:w="100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9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3"/>
              </w:rPr>
              <w:t>Capital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Loss</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November 1, 2018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555,606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Adoption of ASU 2016-16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Sale of common stock through employee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 option and purchase plans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 vesting and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from noncontrolling</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ind w:left="160"/>
              <w:spacing w:after="0"/>
              <w:rPr>
                <w:sz w:val="20"/>
                <w:szCs w:val="20"/>
                <w:color w:val="auto"/>
              </w:rPr>
            </w:pPr>
            <w:r>
              <w:rPr>
                <w:rFonts w:ascii="Arial" w:cs="Arial" w:eastAsia="Arial" w:hAnsi="Arial"/>
                <w:sz w:val="18"/>
                <w:szCs w:val="18"/>
                <w:color w:val="auto"/>
              </w:rPr>
              <w:t>interest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29,394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noncontrolling interests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Subsidiary dividend payable</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(18,837)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 stock of</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(10,696)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Balance at April 28, 2019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69,984</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558,359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245,144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(33,807)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134,760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898,328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b w:val="1"/>
                <w:bCs w:val="1"/>
                <w:color w:val="auto"/>
                <w:w w:val="99"/>
              </w:rPr>
              <w:t>Six Months Ended April 29, 2018</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7"/>
            <w:vMerge w:val="restart"/>
          </w:tcPr>
          <w:p>
            <w:pPr>
              <w:jc w:val="right"/>
              <w:ind w:right="34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7"/>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Paid-in</w:t>
            </w:r>
          </w:p>
        </w:tc>
        <w:tc>
          <w:tcPr>
            <w:tcW w:w="10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Retained</w:t>
            </w:r>
          </w:p>
        </w:tc>
        <w:tc>
          <w:tcPr>
            <w:tcW w:w="140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9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68,666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547,596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189,390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120,731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16,865</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2"/>
              </w:rPr>
              <w:t>Sale of common stock through employee stock option</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purchase plans</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Restricted stock awards vesting and expense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5"/>
              </w:rPr>
              <w:t>Contribution from noncontrolling interest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11,850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 dividend payable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7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9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7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29, 2018</w:t>
            </w: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552,977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205,953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134,686</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7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60" w:type="dxa"/>
            <w:vAlign w:val="bottom"/>
          </w:tcPr>
          <w:p>
            <w:pPr>
              <w:jc w:val="center"/>
              <w:ind w:left="2250"/>
              <w:spacing w:after="0"/>
              <w:rPr>
                <w:sz w:val="20"/>
                <w:szCs w:val="20"/>
                <w:color w:val="auto"/>
              </w:rPr>
            </w:pPr>
            <w:r>
              <w:rPr>
                <w:rFonts w:ascii="Arial" w:cs="Arial" w:eastAsia="Arial" w:hAnsi="Arial"/>
                <w:sz w:val="18"/>
                <w:szCs w:val="18"/>
                <w:b w:val="1"/>
                <w:bCs w:val="1"/>
                <w:color w:val="auto"/>
              </w:rPr>
              <w:t>PHOTRONICS,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6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jc w:val="center"/>
              <w:ind w:left="2250"/>
              <w:spacing w:after="0"/>
              <w:rPr>
                <w:sz w:val="20"/>
                <w:szCs w:val="20"/>
                <w:color w:val="auto"/>
              </w:rPr>
            </w:pPr>
            <w:r>
              <w:rPr>
                <w:rFonts w:ascii="Arial" w:cs="Arial" w:eastAsia="Arial" w:hAnsi="Arial"/>
                <w:sz w:val="18"/>
                <w:szCs w:val="18"/>
                <w:b w:val="1"/>
                <w:bCs w:val="1"/>
                <w:i w:val="1"/>
                <w:iCs w:val="1"/>
                <w:color w:val="auto"/>
                <w:w w:val="87"/>
              </w:rPr>
              <w:t>(in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60" w:type="dxa"/>
            <w:vAlign w:val="bottom"/>
          </w:tcPr>
          <w:p>
            <w:pPr>
              <w:jc w:val="center"/>
              <w:ind w:left="2230"/>
              <w:spacing w:after="0"/>
              <w:rPr>
                <w:sz w:val="20"/>
                <w:szCs w:val="20"/>
                <w:color w:val="auto"/>
              </w:rPr>
            </w:pPr>
            <w:r>
              <w:rPr>
                <w:rFonts w:ascii="Arial" w:cs="Arial" w:eastAsia="Arial" w:hAnsi="Arial"/>
                <w:sz w:val="18"/>
                <w:szCs w:val="18"/>
                <w:b w:val="1"/>
                <w:bCs w:val="1"/>
                <w:i w:val="1"/>
                <w:iCs w:val="1"/>
                <w:color w:val="auto"/>
                <w:w w:val="87"/>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6"/>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April 28,</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8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17,620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(40,566)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37,908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Government incentives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8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(134,761)</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Proceeds from debt</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39,633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(61,220)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(28,003)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(162,208)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331,989*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169,781</w:t>
            </w:r>
          </w:p>
        </w:tc>
        <w:tc>
          <w:tcPr>
            <w:tcW w:w="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information: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with funds receivable from government incentives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13,402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 dividend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18,837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Amount has been modified to reflect the adoption of ASU 2016-18 (see Note 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Six Months Ended April 28, 2019 and April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 panel displays (“FPDs”), and are used as masters to transfer circuit patterns onto semiconductor wafers and flat panel display substrates during the fabrication of integrated circuits (“ICs” or “semiconductors”) and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2019; we anticipate our IC facility in Xiamen, China, to commence production later in 2019.</w:t>
      </w:r>
    </w:p>
    <w:p>
      <w:pPr>
        <w:spacing w:after="0" w:line="2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Our business is typically impacted during the first, and sometimes the second, quarter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2019. For further information, refer to the consolidated financial statements and notes thereto included in our Annual Report on Form 10-K for the year ended October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April 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31,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29,180</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PLANT AND EQUIPMENT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consists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April 28,</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124,374</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19,598</w:t>
            </w: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132,394</w:t>
            </w:r>
          </w:p>
        </w:tc>
        <w:tc>
          <w:tcPr>
            <w:tcW w:w="1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1,974,607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1,862,714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(1,320,250)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654,357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Depreciation and amortization expense for property, plant and equipment was $18.6 million and $36.2 million in the three- and six-month periods ended April 28, 2019, respectively, and $20.8 million and $42.0 million in the three- and six-month periods ended April 29, 2018, respectively.</w:t>
      </w:r>
    </w:p>
    <w:p>
      <w:pPr>
        <w:spacing w:after="0" w:line="17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January 2017, we entered into a noncash transaction with a customer which resulted in the acquisition of equipment with fair values of approximately $6.7 million during the six-month period ended April 29,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25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January 2018, Photronics, through its wholly-owned Singapore subsidiary (hereinafter, within this Note “we”, or “Photronics”), and Dai Nippon Printing Co., Ltd., through its wholly-owned subsidiary “DNP Asia Pacific PTE, Ltd.” (hereinafter, within this Note, “DNP”) entered into a joint venture under which DNP obtained a 49.99% interest in our recently-established IC business in Xiamen, China, in which we anticipate production to commence in 2019. The joint venture, known as “Xiamen American Japan Photronics Mask Co., Ltd.”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advanced-process technology to our customers. No gain or loss was recorded upon the formation of this joint venture.</w:t>
      </w:r>
    </w:p>
    <w:p>
      <w:pPr>
        <w:spacing w:after="0" w:line="20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April 28, 2019, Photronics and DNP had each contributed cash of approximately $48 million to the joint venture. The total investment per the PDMCX operating agreement (the Agreement) is $160 million, of which approximately $13 million remained for Photronics as of April 28, 2019 and will be funded over the next several quarters with cash and local borrowings.</w:t>
      </w:r>
    </w:p>
    <w:p>
      <w:pPr>
        <w:spacing w:after="0" w:line="20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220"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We recorded net losses from the operations of PDMCX of approximately $0.6 million, and $1.9 million during the three- and six-month periods ended April 28, 2019, respectively, and $0.2 million and $0.7 million in the three- and six-month periods ended April 29, 2018, respectively. General creditors of PDMCX do not have recourse to the assets of Photronics, Inc., and our maximum exposure to loss from PDMCX at April 28, 2019, was $44.7 million.</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required by the guidance in Topic 810 - “Consolidation” of the Accounting Standards Codification,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Inc. Our conclusion was based on the facts that we held a controlling financial interest in PDMCX (which resulted from our having the power to direct the activities that most significantly impacted its economic performance),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was based on our right to appoint the majority of its board of directors, which has, among others, the powers to manage the business (through its rights to appoint and evaluate PDMCX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19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April 28,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October 31,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Carrying</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Photronics</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Photronics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Classification</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15,612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116,677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73,962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44,654</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80" w:type="dxa"/>
            <w:vAlign w:val="bottom"/>
            <w:gridSpan w:val="3"/>
          </w:tcPr>
          <w:p>
            <w:pPr>
              <w:spacing w:after="0"/>
              <w:rPr>
                <w:sz w:val="20"/>
                <w:szCs w:val="20"/>
                <w:color w:val="auto"/>
              </w:rPr>
            </w:pPr>
            <w:r>
              <w:rPr>
                <w:rFonts w:ascii="Arial" w:cs="Arial" w:eastAsia="Arial" w:hAnsi="Arial"/>
                <w:sz w:val="18"/>
                <w:szCs w:val="18"/>
                <w:b w:val="1"/>
                <w:bCs w:val="1"/>
                <w:color w:val="auto"/>
              </w:rPr>
              <w:t>NOTE 5 – LONG-TERM DEBT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760" w:type="dxa"/>
            <w:vAlign w:val="bottom"/>
            <w:gridSpan w:val="2"/>
          </w:tcPr>
          <w:p>
            <w:pPr>
              <w:ind w:left="320"/>
              <w:spacing w:after="0"/>
              <w:rPr>
                <w:sz w:val="20"/>
                <w:szCs w:val="20"/>
                <w:color w:val="auto"/>
              </w:rPr>
            </w:pPr>
            <w:r>
              <w:rPr>
                <w:rFonts w:ascii="Arial" w:cs="Arial" w:eastAsia="Arial" w:hAnsi="Arial"/>
                <w:sz w:val="18"/>
                <w:szCs w:val="18"/>
                <w:color w:val="auto"/>
              </w:rPr>
              <w:t>Long-term debt consists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April 28,</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Loan due December 2025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Project Loan due December 2022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Loan due January 2022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2"/>
              </w:rPr>
              <w:t>3.25% convertible senior notes matured April 2019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2019, the $57.5 million convertible senior notes, discussed below, matured and were repaid.</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was the same as that of the exchanged notes, which were issued in March 2011 with a conversion rate of approximately 96 shares of common stock per $1,000 note principal, equivalent to a conversion price of $10.37 per share of common stock. Note holders could convert each $1,000 principal amount of notes at any time prior to the close of business on the second scheduled trading day immediately preceding April 1, 2019; we were not required to redeem the notes, other than upon conversion, prior to their maturity date. Interest on the notes accrued in arrears, and was paid semiannually through the notes’ maturity date.</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November 2018, PDMCX was approved for credit of $50 million, subject to certain limitations related to PDMCX registered capital at the time of the borrowing, pursuant to which PDMCX will enter into separate loan agreements (“the Project Loans”) for each borrowing. The Project Loans, which are denominated in renminbi, are being used to finance certain capital expenditures in China. PDMCX has agreed to grant a lien on the land, building and certain equipment owned by PDMCX as collateral for the Project Loans. As of April 28, 2019, PDMCX had borrowed $26.3 million against this approval, which includes $11.4 million that was borrowed during the three-month period ended April 28, 2019. Subsequent to April 28, 2019, PDMCX borrowed an additional $9.7 million. Repayments on the amounts borrowed before the three-month period ended April 28, 2019, will be made semiannually, commencing in June 2020 and ending in December 2022. Repayments on the amount borrowed after the three-month period ended January 27, 2019, will be made semiannually, commencing in June 2023 and ending in December 2025. The interest rates on the Project Loans are based on the benchmark lending rate of the People’s Bank of China (4.9% at April 28, 2019). Interest incurred on these loans will be reimbursed through incentives afforded to us by the Xiamen Torch Hi-Tech Industrial Development Zone which, to a prescribed limit, provide for such reimbursements.</w:t>
      </w:r>
    </w:p>
    <w:p>
      <w:pPr>
        <w:spacing w:after="0" w:line="19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November 2018, PDMCX was approved for credit of $25.0 million, pursuant to which PDMCX may enter into separate loan agreements. No guarantees were required as part of this approval. As of April 28, 2019, PDMCX had borrowed $13.8 million against this approval of which $3.7 million were 90-day loans. The remaining $10.1 million borrowed (the “Working Capital Loans”) is to be repaid semiannually from the dates of the individual borrowings; repayments commenced in May 2019 and end in January 2022. In May 2019, we borrowed an additional $1.9 million against this approval, and repaid $0.1 million. The 90-day loans were repaid in our second quarter of 2019. The Working Capital Loans, which are denominated in renminbi, are being used for general financing purposes, including payments of import and value-added taxes. The interest rates on the 90-day loans were the market rate on the date of issuance (4.9%), and interest rates on the Working Capital Loans are approximately 5%, and are based on the RMB Loan Prime Rate of the National Interbank Funding Center, plus a spread of 67.75 basis points. Interest incurred on the loans will be reimbursed through incentives provided by the Xiamen Torch Hi-Tech Industrial Development Zone, which, to a prescribed limit, provide for such reimbursements.</w:t>
      </w:r>
    </w:p>
    <w:p>
      <w:pPr>
        <w:spacing w:after="0" w:line="20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September 2018, we entered into an amended and restated credit agreement (“the new agreement”) that expires in September 2023. The new agreement, which replaced our prior credit facility, has a $50 million borrowing limit, with an expansion capacity to $100 million, and is secured by substantially all of our assets located in the United States and common stock we own in certain of our foreign subsidiaries. The new agreement limits the amount we can pay in cash for dividends, distributions and redemption on Photronics, Inc. equity of up to an aggregate amount of $100 million, and contains the following financial covenants: minimum interest coverage ratio, total leverage ratio and minimum unrestricted cash balance, all of which we were in compliance with as of April 28, 2019. We had no outstanding borrowings against the new agreement as of April 28, 2019, and $50 million was available for borrowing. The interest rate on the new agreement (2.5% at April 28, 2019) is based on our total leverage ratio at LIBOR plus a spread, as defined in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5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adopted Accounting Standards Update 2014-09 and all subsequent amendments which are collectively codified in Accounting Standards Codification Topic 606 - “Revenue from Contracts with Customers” (“Topic 606”) - on November 1, 2018, under the modified retrospective transition method, only with respect to contracts that were not complete as of the date of adoption. This approach required prospective application of the guidance with a cumulative effect adjustment to retained earnings to reflect the impact of the adoption on contracts that were not complete as of the date of the adoption. In accordance with the modified retrospective transition method, the results of the prior year period presented have not been adjusted for the effects of Topic 606.</w:t>
      </w:r>
    </w:p>
    <w:p>
      <w:pPr>
        <w:spacing w:after="0" w:line="18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Under Topic 606, we recognize revenue when, or as, control of a good or service transfers to a customer, in an amount that reflects the consideration to which we expect to be entitled in exchange for transferring those goods or services, whereas, prior to our adoption of Topic 606, we recognized revenue when we shipped to customers or, under some arrangements, when the customers received the goods. The following tables present the impacts of our adoption of Topic 606 on our April 28, 2019, condensed consolidated balance sheet, and condensed consolidated statements of income for the three and six months ended April 28, 2019, and cash flows for the six months ended April 28, 2019.</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840" w:type="dxa"/>
            <w:vAlign w:val="bottom"/>
            <w:gridSpan w:val="6"/>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20" w:type="dxa"/>
            <w:vAlign w:val="bottom"/>
            <w:gridSpan w:val="13"/>
          </w:tcPr>
          <w:p>
            <w:pPr>
              <w:jc w:val="center"/>
              <w:ind w:left="134"/>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center"/>
              <w:ind w:left="590"/>
              <w:spacing w:after="0" w:line="194" w:lineRule="exact"/>
              <w:rPr>
                <w:sz w:val="20"/>
                <w:szCs w:val="20"/>
                <w:color w:val="auto"/>
              </w:rPr>
            </w:pPr>
            <w:r>
              <w:rPr>
                <w:rFonts w:ascii="Arial" w:cs="Arial" w:eastAsia="Arial" w:hAnsi="Arial"/>
                <w:sz w:val="18"/>
                <w:szCs w:val="18"/>
                <w:b w:val="1"/>
                <w:bCs w:val="1"/>
                <w:color w:val="auto"/>
                <w:w w:val="93"/>
              </w:rPr>
              <w:t>April 28, 2019</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220"/>
              <w:spacing w:after="0"/>
              <w:rPr>
                <w:sz w:val="20"/>
                <w:szCs w:val="20"/>
                <w:color w:val="auto"/>
              </w:rPr>
            </w:pPr>
            <w:r>
              <w:rPr>
                <w:rFonts w:ascii="Arial" w:cs="Arial" w:eastAsia="Arial" w:hAnsi="Arial"/>
                <w:sz w:val="18"/>
                <w:szCs w:val="18"/>
                <w:b w:val="1"/>
                <w:bCs w:val="1"/>
                <w:color w:val="auto"/>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1"/>
              </w:rPr>
              <w:t>As Reported</w:t>
            </w:r>
          </w:p>
        </w:tc>
        <w:tc>
          <w:tcPr>
            <w:tcW w:w="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Adjustments</w:t>
            </w:r>
          </w:p>
        </w:tc>
        <w:tc>
          <w:tcPr>
            <w:tcW w:w="100" w:type="dxa"/>
            <w:vAlign w:val="bottom"/>
          </w:tcPr>
          <w:p>
            <w:pPr>
              <w:spacing w:after="0"/>
              <w:rPr>
                <w:sz w:val="20"/>
                <w:szCs w:val="20"/>
                <w:color w:val="auto"/>
              </w:rPr>
            </w:pP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176"/>
        </w:trPr>
        <w:tc>
          <w:tcPr>
            <w:tcW w:w="38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ind w:left="16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34,696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38,304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ind w:left="16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15,121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ind w:left="16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Equity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Photronics, Inc. shareholders’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(1,963)</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5"/>
          </w:tcPr>
          <w:p>
            <w:pPr>
              <w:ind w:left="160"/>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134,760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134,285</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20" w:type="dxa"/>
            <w:vAlign w:val="bottom"/>
            <w:gridSpan w:val="16"/>
          </w:tcPr>
          <w:p>
            <w:pPr>
              <w:jc w:val="center"/>
              <w:ind w:right="680"/>
              <w:spacing w:after="0"/>
              <w:rPr>
                <w:sz w:val="20"/>
                <w:szCs w:val="20"/>
                <w:color w:val="auto"/>
              </w:rPr>
            </w:pPr>
            <w:r>
              <w:rPr>
                <w:rFonts w:ascii="Arial" w:cs="Arial" w:eastAsia="Arial" w:hAnsi="Arial"/>
                <w:sz w:val="18"/>
                <w:szCs w:val="18"/>
                <w:b w:val="1"/>
                <w:bCs w:val="1"/>
                <w:color w:val="auto"/>
                <w:w w:val="88"/>
              </w:rPr>
              <w:t>Condensed Consolidated Statement of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80" w:type="dxa"/>
            <w:vAlign w:val="bottom"/>
            <w:gridSpan w:val="10"/>
          </w:tcPr>
          <w:p>
            <w:pPr>
              <w:jc w:val="center"/>
              <w:ind w:right="20"/>
              <w:spacing w:after="0" w:line="194" w:lineRule="exact"/>
              <w:rPr>
                <w:sz w:val="20"/>
                <w:szCs w:val="20"/>
                <w:color w:val="auto"/>
              </w:rPr>
            </w:pPr>
            <w:r>
              <w:rPr>
                <w:rFonts w:ascii="Arial" w:cs="Arial" w:eastAsia="Arial" w:hAnsi="Arial"/>
                <w:sz w:val="18"/>
                <w:szCs w:val="18"/>
                <w:b w:val="1"/>
                <w:bCs w:val="1"/>
                <w:color w:val="auto"/>
                <w:w w:val="92"/>
              </w:rPr>
              <w:t>Three Months Ended April 28, 2019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220"/>
              <w:spacing w:after="0"/>
              <w:rPr>
                <w:sz w:val="20"/>
                <w:szCs w:val="20"/>
                <w:color w:val="auto"/>
              </w:rPr>
            </w:pPr>
            <w:r>
              <w:rPr>
                <w:rFonts w:ascii="Arial" w:cs="Arial" w:eastAsia="Arial" w:hAnsi="Arial"/>
                <w:sz w:val="18"/>
                <w:szCs w:val="18"/>
                <w:b w:val="1"/>
                <w:bCs w:val="1"/>
                <w:color w:val="auto"/>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As Reported</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105,570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Provision for taxes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2"/>
              </w:rPr>
              <w:t>Income attributable to Photronics, Inc. shareholders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20" w:type="dxa"/>
            <w:vAlign w:val="bottom"/>
            <w:gridSpan w:val="16"/>
          </w:tcPr>
          <w:p>
            <w:pPr>
              <w:jc w:val="center"/>
              <w:ind w:right="680"/>
              <w:spacing w:after="0"/>
              <w:rPr>
                <w:sz w:val="20"/>
                <w:szCs w:val="20"/>
                <w:color w:val="auto"/>
              </w:rPr>
            </w:pPr>
            <w:r>
              <w:rPr>
                <w:rFonts w:ascii="Arial" w:cs="Arial" w:eastAsia="Arial" w:hAnsi="Arial"/>
                <w:sz w:val="18"/>
                <w:szCs w:val="18"/>
                <w:b w:val="1"/>
                <w:bCs w:val="1"/>
                <w:color w:val="auto"/>
                <w:w w:val="88"/>
              </w:rPr>
              <w:t>Condensed Consolidated Statement of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80" w:type="dxa"/>
            <w:vAlign w:val="bottom"/>
            <w:gridSpan w:val="10"/>
          </w:tcPr>
          <w:p>
            <w:pPr>
              <w:jc w:val="center"/>
              <w:ind w:right="40"/>
              <w:spacing w:after="0" w:line="194" w:lineRule="exact"/>
              <w:rPr>
                <w:sz w:val="20"/>
                <w:szCs w:val="20"/>
                <w:color w:val="auto"/>
              </w:rPr>
            </w:pPr>
            <w:r>
              <w:rPr>
                <w:rFonts w:ascii="Arial" w:cs="Arial" w:eastAsia="Arial" w:hAnsi="Arial"/>
                <w:sz w:val="18"/>
                <w:szCs w:val="18"/>
                <w:b w:val="1"/>
                <w:bCs w:val="1"/>
                <w:color w:val="auto"/>
                <w:w w:val="91"/>
              </w:rPr>
              <w:t>Six Months Ended April 28, 2019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Balance without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1"/>
              </w:rPr>
              <w:t>Adjustments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Adoption of Topic 606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gridSpan w:val="5"/>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256,291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253,767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204,179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203,138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50,629</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Provision for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4,487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16,315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3,521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2"/>
              </w:rPr>
              <w:t>Income attributable to Photronics, Inc. shareholders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60" w:type="dxa"/>
            <w:vAlign w:val="bottom"/>
            <w:gridSpan w:val="4"/>
          </w:tcPr>
          <w:p>
            <w:pPr>
              <w:jc w:val="center"/>
              <w:ind w:left="1594"/>
              <w:spacing w:after="0"/>
              <w:rPr>
                <w:sz w:val="20"/>
                <w:szCs w:val="20"/>
                <w:color w:val="auto"/>
              </w:rPr>
            </w:pPr>
            <w:r>
              <w:rPr>
                <w:rFonts w:ascii="Arial" w:cs="Arial" w:eastAsia="Arial" w:hAnsi="Arial"/>
                <w:sz w:val="14"/>
                <w:szCs w:val="14"/>
                <w:color w:val="auto"/>
                <w:w w:val="89"/>
              </w:rPr>
              <w:t>14</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46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2"/>
              </w:rPr>
              <w:t>Condensed Consolidated Statement of Cash Flows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660" w:type="dxa"/>
            <w:vAlign w:val="bottom"/>
            <w:gridSpan w:val="4"/>
          </w:tcPr>
          <w:p>
            <w:pPr>
              <w:jc w:val="right"/>
              <w:ind w:right="190"/>
              <w:spacing w:after="0" w:line="194" w:lineRule="exact"/>
              <w:rPr>
                <w:sz w:val="20"/>
                <w:szCs w:val="20"/>
                <w:color w:val="auto"/>
              </w:rPr>
            </w:pPr>
            <w:r>
              <w:rPr>
                <w:rFonts w:ascii="Arial" w:cs="Arial" w:eastAsia="Arial" w:hAnsi="Arial"/>
                <w:sz w:val="18"/>
                <w:szCs w:val="18"/>
                <w:b w:val="1"/>
                <w:bCs w:val="1"/>
                <w:color w:val="auto"/>
              </w:rPr>
              <w:t>Six Months Ended April 28, 2019</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As Reported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Adjustments</w:t>
            </w:r>
          </w:p>
        </w:tc>
        <w:tc>
          <w:tcPr>
            <w:tcW w:w="22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17,620</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Changes in operating accounts:</w:t>
            </w:r>
          </w:p>
        </w:tc>
        <w:tc>
          <w:tcPr>
            <w:tcW w:w="8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66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(9,447)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w w:val="94"/>
              </w:rPr>
              <w:t>Accounts payable, accrued liabilities, and other</w:t>
            </w:r>
          </w:p>
        </w:tc>
        <w:tc>
          <w:tcPr>
            <w:tcW w:w="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(40,566)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(40,067)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(referred to as “mask sets”),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revenue contracts on which we have performed; for any such contracts that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w:t>
      </w:r>
    </w:p>
    <w:p>
      <w:pPr>
        <w:spacing w:after="0" w:line="210"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As stated above, photomasks are manufactured in accordance with proprietary designs provided by our customers;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right="80" w:firstLine="324"/>
        <w:spacing w:after="0" w:line="252" w:lineRule="auto"/>
        <w:rPr>
          <w:sz w:val="20"/>
          <w:szCs w:val="20"/>
          <w:color w:val="auto"/>
        </w:rPr>
      </w:pPr>
      <w:r>
        <w:rPr>
          <w:rFonts w:ascii="Arial" w:cs="Arial" w:eastAsia="Arial" w:hAnsi="Arial"/>
          <w:sz w:val="17"/>
          <w:szCs w:val="17"/>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in-process or completed but not yet shipped. A receivable is recognized when we have an unconditional right to payment for our performance, which generally occurs when we ship the photomasks. Our contract assets account primarily consists of a significant amount of our work-in-process inventory and fully-manufactured photomasks which have not yet shipped, if we have an enforceable right to collect consideration (including a reasonable profit), in the event the in-process orders are cancelled by customers. On an individual contract basis, we net contract assets with contract liabilities (deferred revenue) for financial reporting purposes. Our contract assets and liabilities are typically classified as current, as our production cycle and our lead times are both under one year. Contract assets of $6.2 million are included in “Other” current assets, and contract liabilities of $7.9 million are included in “Other” current liabilities in our April 28, 2019 condensed consolidated balance sheet. At November 1, 2018, our date of adoption of Topic 606, we had contract assets of $4.6 million and contract liabilities of $7.8 million. We did not impair any contract assets during the six-month period ended April 28, 2019, and, during the respective three- and six-month periods ended April 28, 2019, we recognized $0.5 million and $1.2 million of revenue from the settlement of contract liabilities that existed at the beginning of those periods.</w:t>
      </w:r>
    </w:p>
    <w:p>
      <w:pPr>
        <w:spacing w:after="0" w:line="211"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We generally record our accounts receivable at their billed amounts. All outstanding past due customer invoices are reviewed during, and at the end of, every period for collectibility. To the extent we believe a loss on the collection of a customer invoice is probable, we record the loss and credit the allowance for doubtful accounts. In the event that an amount is determined to be uncollectible, we charge the allowance for doubtful accounts and eliminate the related receivable. We did not incur any credit losses on our accounts receivable during the six-month period ended April 28,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require payment in advance of performance. We have elected the practical expedient allowed under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not preceded the completion of our performance obligations by more than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present our revenue for the three and six-month periods ended April 28, 2019, disaggregated by product type, geographic location, and timing of recognition.</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194"/>
        </w:trPr>
        <w:tc>
          <w:tcPr>
            <w:tcW w:w="1980" w:type="dxa"/>
            <w:vAlign w:val="bottom"/>
            <w:tcBorders>
              <w:bottom w:val="single" w:sz="8" w:color="auto"/>
            </w:tcBorders>
            <w:gridSpan w:val="3"/>
          </w:tcPr>
          <w:p>
            <w:pPr>
              <w:spacing w:after="0" w:line="194" w:lineRule="exact"/>
              <w:rPr>
                <w:sz w:val="20"/>
                <w:szCs w:val="20"/>
                <w:color w:val="auto"/>
              </w:rPr>
            </w:pPr>
            <w:r>
              <w:rPr>
                <w:rFonts w:ascii="Arial" w:cs="Arial" w:eastAsia="Arial" w:hAnsi="Arial"/>
                <w:sz w:val="18"/>
                <w:szCs w:val="18"/>
                <w:b w:val="1"/>
                <w:bCs w:val="1"/>
                <w:color w:val="auto"/>
                <w:w w:val="88"/>
              </w:rPr>
              <w:t>Revenue by Product Type</w:t>
            </w:r>
          </w:p>
        </w:tc>
        <w:tc>
          <w:tcPr>
            <w:tcW w:w="222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April 28, 2019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320"/>
              <w:spacing w:after="0" w:line="194" w:lineRule="exact"/>
              <w:rPr>
                <w:sz w:val="20"/>
                <w:szCs w:val="20"/>
                <w:color w:val="auto"/>
              </w:rPr>
            </w:pPr>
            <w:r>
              <w:rPr>
                <w:rFonts w:ascii="Arial" w:cs="Arial" w:eastAsia="Arial" w:hAnsi="Arial"/>
                <w:sz w:val="18"/>
                <w:szCs w:val="18"/>
                <w:b w:val="1"/>
                <w:bCs w:val="1"/>
                <w:color w:val="auto"/>
                <w:w w:val="96"/>
              </w:rPr>
              <w:t>April 28, 2019</w:t>
            </w:r>
          </w:p>
        </w:tc>
        <w:tc>
          <w:tcPr>
            <w:tcW w:w="0" w:type="dxa"/>
            <w:vAlign w:val="bottom"/>
          </w:tcPr>
          <w:p>
            <w:pPr>
              <w:spacing w:after="0"/>
              <w:rPr>
                <w:sz w:val="1"/>
                <w:szCs w:val="1"/>
                <w:color w:val="auto"/>
              </w:rPr>
            </w:pPr>
          </w:p>
        </w:tc>
      </w:tr>
      <w:tr>
        <w:trPr>
          <w:trHeight w:val="28"/>
        </w:trPr>
        <w:tc>
          <w:tcPr>
            <w:tcW w:w="4200" w:type="dxa"/>
            <w:vAlign w:val="bottom"/>
            <w:gridSpan w:val="6"/>
            <w:vMerge w:val="restart"/>
          </w:tcPr>
          <w:p>
            <w:pPr>
              <w:spacing w:after="0"/>
              <w:rPr>
                <w:sz w:val="20"/>
                <w:szCs w:val="20"/>
                <w:color w:val="auto"/>
              </w:rPr>
            </w:pPr>
            <w:r>
              <w:rPr>
                <w:rFonts w:ascii="Arial" w:cs="Arial" w:eastAsia="Arial" w:hAnsi="Arial"/>
                <w:sz w:val="18"/>
                <w:szCs w:val="18"/>
                <w:color w:val="auto"/>
              </w:rPr>
              <w:t>IC</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42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72,995</w:t>
            </w:r>
          </w:p>
        </w:tc>
        <w:tc>
          <w:tcPr>
            <w:tcW w:w="0" w:type="dxa"/>
            <w:vAlign w:val="bottom"/>
          </w:tcPr>
          <w:p>
            <w:pPr>
              <w:spacing w:after="0"/>
              <w:rPr>
                <w:sz w:val="1"/>
                <w:szCs w:val="1"/>
                <w:color w:val="auto"/>
              </w:rPr>
            </w:pPr>
          </w:p>
        </w:tc>
      </w:tr>
      <w:tr>
        <w:trPr>
          <w:trHeight w:val="223"/>
        </w:trPr>
        <w:tc>
          <w:tcPr>
            <w:tcW w:w="4200" w:type="dxa"/>
            <w:vAlign w:val="bottom"/>
            <w:gridSpan w:val="6"/>
          </w:tcPr>
          <w:p>
            <w:pPr>
              <w:ind w:left="160"/>
              <w:spacing w:after="0"/>
              <w:rPr>
                <w:sz w:val="20"/>
                <w:szCs w:val="20"/>
                <w:color w:val="auto"/>
              </w:rPr>
            </w:pPr>
            <w:r>
              <w:rPr>
                <w:rFonts w:ascii="Arial" w:cs="Arial" w:eastAsia="Arial" w:hAnsi="Arial"/>
                <w:sz w:val="18"/>
                <w:szCs w:val="18"/>
                <w:color w:val="auto"/>
              </w:rPr>
              <w:t>Mainstream</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60,158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120,471</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Total IC</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98,587</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193,466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FPD</w:t>
            </w: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6"/>
          </w:tcPr>
          <w:p>
            <w:pPr>
              <w:ind w:left="160"/>
              <w:spacing w:after="0"/>
              <w:rPr>
                <w:sz w:val="20"/>
                <w:szCs w:val="20"/>
                <w:color w:val="auto"/>
              </w:rPr>
            </w:pPr>
            <w:r>
              <w:rPr>
                <w:rFonts w:ascii="Arial" w:cs="Arial" w:eastAsia="Arial" w:hAnsi="Arial"/>
                <w:sz w:val="18"/>
                <w:szCs w:val="18"/>
                <w:color w:val="auto"/>
              </w:rPr>
              <w:t>High-end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22,956</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44,422</w:t>
            </w:r>
          </w:p>
        </w:tc>
        <w:tc>
          <w:tcPr>
            <w:tcW w:w="0" w:type="dxa"/>
            <w:vAlign w:val="bottom"/>
          </w:tcPr>
          <w:p>
            <w:pPr>
              <w:spacing w:after="0"/>
              <w:rPr>
                <w:sz w:val="1"/>
                <w:szCs w:val="1"/>
                <w:color w:val="auto"/>
              </w:rPr>
            </w:pPr>
          </w:p>
        </w:tc>
      </w:tr>
      <w:tr>
        <w:trPr>
          <w:trHeight w:val="216"/>
        </w:trPr>
        <w:tc>
          <w:tcPr>
            <w:tcW w:w="42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Mainstream</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18,403</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020" w:type="dxa"/>
            <w:vAlign w:val="bottom"/>
            <w:gridSpan w:val="5"/>
          </w:tcPr>
          <w:p>
            <w:pPr>
              <w:ind w:left="140"/>
              <w:spacing w:after="0"/>
              <w:rPr>
                <w:sz w:val="20"/>
                <w:szCs w:val="20"/>
                <w:color w:val="auto"/>
              </w:rPr>
            </w:pPr>
            <w:r>
              <w:rPr>
                <w:rFonts w:ascii="Arial" w:cs="Arial" w:eastAsia="Arial" w:hAnsi="Arial"/>
                <w:sz w:val="18"/>
                <w:szCs w:val="18"/>
                <w:color w:val="auto"/>
              </w:rPr>
              <w:t>Total FPD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32,993</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62,825</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200" w:type="dxa"/>
            <w:vAlign w:val="bottom"/>
            <w:gridSpan w:val="6"/>
          </w:tcPr>
          <w:p>
            <w:pPr>
              <w:spacing w:after="0" w:line="170" w:lineRule="exact"/>
              <w:rPr>
                <w:sz w:val="20"/>
                <w:szCs w:val="20"/>
                <w:color w:val="auto"/>
              </w:rPr>
            </w:pPr>
            <w:r>
              <w:rPr>
                <w:rFonts w:ascii="Arial" w:cs="Arial" w:eastAsia="Arial" w:hAnsi="Arial"/>
                <w:sz w:val="18"/>
                <w:szCs w:val="18"/>
                <w:b w:val="1"/>
                <w:bCs w:val="1"/>
                <w:color w:val="auto"/>
              </w:rPr>
              <w:t>Revenue by Geographic Location</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Taiwan</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56,469</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114,209</w:t>
            </w:r>
          </w:p>
        </w:tc>
        <w:tc>
          <w:tcPr>
            <w:tcW w:w="0" w:type="dxa"/>
            <w:vAlign w:val="bottom"/>
          </w:tcPr>
          <w:p>
            <w:pPr>
              <w:spacing w:after="0"/>
              <w:rPr>
                <w:sz w:val="1"/>
                <w:szCs w:val="1"/>
                <w:color w:val="auto"/>
              </w:rPr>
            </w:pPr>
          </w:p>
        </w:tc>
      </w:tr>
      <w:tr>
        <w:trPr>
          <w:trHeight w:val="216"/>
        </w:trPr>
        <w:tc>
          <w:tcPr>
            <w:tcW w:w="4200" w:type="dxa"/>
            <w:vAlign w:val="bottom"/>
            <w:gridSpan w:val="6"/>
          </w:tcPr>
          <w:p>
            <w:pPr>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73,275</w:t>
            </w:r>
          </w:p>
        </w:tc>
        <w:tc>
          <w:tcPr>
            <w:tcW w:w="0" w:type="dxa"/>
            <w:vAlign w:val="bottom"/>
          </w:tcPr>
          <w:p>
            <w:pPr>
              <w:spacing w:after="0"/>
              <w:rPr>
                <w:sz w:val="1"/>
                <w:szCs w:val="1"/>
                <w:color w:val="auto"/>
              </w:rPr>
            </w:pPr>
          </w:p>
        </w:tc>
      </w:tr>
      <w:tr>
        <w:trPr>
          <w:trHeight w:val="216"/>
        </w:trPr>
        <w:tc>
          <w:tcPr>
            <w:tcW w:w="4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49,215</w:t>
            </w:r>
          </w:p>
        </w:tc>
        <w:tc>
          <w:tcPr>
            <w:tcW w:w="0" w:type="dxa"/>
            <w:vAlign w:val="bottom"/>
          </w:tcPr>
          <w:p>
            <w:pPr>
              <w:spacing w:after="0"/>
              <w:rPr>
                <w:sz w:val="1"/>
                <w:szCs w:val="1"/>
                <w:color w:val="auto"/>
              </w:rPr>
            </w:pPr>
          </w:p>
        </w:tc>
      </w:tr>
      <w:tr>
        <w:trPr>
          <w:trHeight w:val="216"/>
        </w:trPr>
        <w:tc>
          <w:tcPr>
            <w:tcW w:w="4200" w:type="dxa"/>
            <w:vAlign w:val="bottom"/>
            <w:gridSpan w:val="6"/>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16,788</w:t>
            </w:r>
          </w:p>
        </w:tc>
        <w:tc>
          <w:tcPr>
            <w:tcW w:w="0" w:type="dxa"/>
            <w:vAlign w:val="bottom"/>
          </w:tcPr>
          <w:p>
            <w:pPr>
              <w:spacing w:after="0"/>
              <w:rPr>
                <w:sz w:val="1"/>
                <w:szCs w:val="1"/>
                <w:color w:val="auto"/>
              </w:rPr>
            </w:pPr>
          </w:p>
        </w:tc>
      </w:tr>
      <w:tr>
        <w:trPr>
          <w:trHeight w:val="216"/>
        </w:trPr>
        <w:tc>
          <w:tcPr>
            <w:tcW w:w="4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China</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4200" w:type="dxa"/>
            <w:vAlign w:val="bottom"/>
            <w:gridSpan w:val="6"/>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200" w:type="dxa"/>
            <w:vAlign w:val="bottom"/>
            <w:gridSpan w:val="6"/>
          </w:tcPr>
          <w:p>
            <w:pPr>
              <w:spacing w:after="0" w:line="170" w:lineRule="exact"/>
              <w:rPr>
                <w:sz w:val="20"/>
                <w:szCs w:val="20"/>
                <w:color w:val="auto"/>
              </w:rPr>
            </w:pPr>
            <w:r>
              <w:rPr>
                <w:rFonts w:ascii="Arial" w:cs="Arial" w:eastAsia="Arial" w:hAnsi="Arial"/>
                <w:sz w:val="18"/>
                <w:szCs w:val="18"/>
                <w:b w:val="1"/>
                <w:bCs w:val="1"/>
                <w:color w:val="auto"/>
              </w:rPr>
              <w:t>Revenue by Timing of Recognition</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Over time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123,853</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244,699</w:t>
            </w:r>
          </w:p>
        </w:tc>
        <w:tc>
          <w:tcPr>
            <w:tcW w:w="0" w:type="dxa"/>
            <w:vAlign w:val="bottom"/>
          </w:tcPr>
          <w:p>
            <w:pPr>
              <w:spacing w:after="0"/>
              <w:rPr>
                <w:sz w:val="1"/>
                <w:szCs w:val="1"/>
                <w:color w:val="auto"/>
              </w:rPr>
            </w:pPr>
          </w:p>
        </w:tc>
      </w:tr>
      <w:tr>
        <w:trPr>
          <w:trHeight w:val="223"/>
        </w:trPr>
        <w:tc>
          <w:tcPr>
            <w:tcW w:w="4200" w:type="dxa"/>
            <w:vAlign w:val="bottom"/>
            <w:gridSpan w:val="6"/>
          </w:tcPr>
          <w:p>
            <w:pPr>
              <w:spacing w:after="0"/>
              <w:rPr>
                <w:sz w:val="20"/>
                <w:szCs w:val="20"/>
                <w:color w:val="auto"/>
              </w:rPr>
            </w:pPr>
            <w:r>
              <w:rPr>
                <w:rFonts w:ascii="Arial" w:cs="Arial" w:eastAsia="Arial" w:hAnsi="Arial"/>
                <w:sz w:val="18"/>
                <w:szCs w:val="18"/>
                <w:color w:val="auto"/>
              </w:rPr>
              <w:t>At a point in time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7,727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pay commissions to third party sales agents for certain sales that they obtain for us. However, the basis of the commissions is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ectPr>
          <w:pgSz w:w="11900" w:h="16838" w:orient="portrait"/>
          <w:cols w:equalWidth="0" w:num="1">
            <w:col w:w="11380"/>
          </w:cols>
          <w:pgMar w:left="240" w:top="122" w:right="27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Similar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our revenue net of any sales or similar taxes we collect on behalf of governmental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photomasks are sold under warranties that generally range from 1 to 12 months. We warrant that our photomasks conform to customer specifications, and that we will repair or replace, at our option, any photomasks that fail to do so. The warranties do not represent separate performance obligations in our revenue contracts. Historically, customer claims under warranty have been immaterial.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that are being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six-month periods ended April 28, 2019, were $0.9 million and $2.0 million, respectively, and $0.8 million and $1.6 million for the three and six-month periods ended April 29, 2018, respectively. The Company received cash from option exercises of $0.3 million and $0.8 million for the three and six-month periods ended April 28, 2019, respectively, and $2.9 million and $3.6 million for the three and six-month periods ended April 29, 2018, respectively. No share-based compensation cost was capitalized as part of an asset and no related income tax benefits were recorded during the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Option awards generally vest in one-to-four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were no share options granted during the three-month periods ended April 28, 2019 and April 29, 2018. There were 132,000 share options granted during the six-month period ended April 28, 2019, with a weighted-average grant-date fair value of $3.31 per share, and 252,000 share options granted during the six-month period ended April 29, 2018, with a weighted-average grant-date fair value of $2.74 per share. As of April 28, 2019, the total unrecognized compensation cost related to unvested option awards was approximately $1.2 million. That cost is expected to be recognized over a weighted-average amortization period of 2.4 years.</w:t>
      </w:r>
    </w:p>
    <w:p>
      <w:pPr>
        <w:spacing w:after="0" w:line="21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grant-date fair value of options issued during the three and six-month periods ended April 28, 2019 and April 29, 2018,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April 28,</w:t>
            </w:r>
          </w:p>
        </w:tc>
        <w:tc>
          <w:tcPr>
            <w:tcW w:w="20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8"/>
                <w:szCs w:val="18"/>
                <w:b w:val="1"/>
                <w:bCs w:val="1"/>
                <w:color w:val="auto"/>
              </w:rPr>
              <w:t>April 29,</w:t>
            </w:r>
          </w:p>
        </w:tc>
        <w:tc>
          <w:tcPr>
            <w:tcW w:w="22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28,</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380" w:type="dxa"/>
            <w:vAlign w:val="bottom"/>
            <w:shd w:val="clear" w:color="auto" w:fill="CCEEFF"/>
          </w:tcPr>
          <w:p>
            <w:pPr>
              <w:spacing w:after="0"/>
              <w:rPr>
                <w:sz w:val="18"/>
                <w:szCs w:val="18"/>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2380" w:type="dxa"/>
            <w:vAlign w:val="bottom"/>
            <w:shd w:val="clear" w:color="auto" w:fill="CCEEFF"/>
          </w:tcPr>
          <w:p>
            <w:pPr>
              <w:spacing w:after="0"/>
              <w:rPr>
                <w:sz w:val="18"/>
                <w:szCs w:val="18"/>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2.5-2.9%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380" w:type="dxa"/>
            <w:vAlign w:val="bottom"/>
            <w:shd w:val="clear" w:color="auto" w:fill="CCEEFF"/>
          </w:tcPr>
          <w:p>
            <w:pPr>
              <w:spacing w:after="0"/>
              <w:rPr>
                <w:sz w:val="18"/>
                <w:szCs w:val="18"/>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380" w:type="dxa"/>
            <w:vAlign w:val="bottom"/>
            <w:shd w:val="clear" w:color="auto" w:fill="CCEEFF"/>
          </w:tcPr>
          <w:p>
            <w:pPr>
              <w:spacing w:after="0"/>
              <w:rPr>
                <w:sz w:val="18"/>
                <w:szCs w:val="18"/>
                <w:color w:val="auto"/>
              </w:rPr>
            </w:pPr>
          </w:p>
        </w:tc>
        <w:tc>
          <w:tcPr>
            <w:tcW w:w="1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 years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8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380" w:type="dxa"/>
            <w:vAlign w:val="bottom"/>
            <w:gridSpan w:val="4"/>
          </w:tcPr>
          <w:p>
            <w:pPr>
              <w:jc w:val="right"/>
              <w:ind w:right="220"/>
              <w:spacing w:after="0"/>
              <w:rPr>
                <w:sz w:val="20"/>
                <w:szCs w:val="20"/>
                <w:color w:val="auto"/>
              </w:rPr>
            </w:pPr>
            <w:r>
              <w:rPr>
                <w:rFonts w:ascii="Arial" w:cs="Arial" w:eastAsia="Arial" w:hAnsi="Arial"/>
                <w:sz w:val="18"/>
                <w:szCs w:val="18"/>
                <w:color w:val="auto"/>
                <w:w w:val="90"/>
              </w:rPr>
              <w:t>Information on outstanding and exercisable option awards as of April 28, 2019, is presented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April 28, 2019</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2,405,318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5.7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April 28, 2019</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1,795,651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4.9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459"/>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periodically grant restricted stock awards, the restrictions on which typically lapse over a service period of one-to-four years. The fair value of the awards is determined on the date of grant, based on the closing price of our common stock. There were 435,000 restricted stock awards granted during the six-month period ended April 28, 2019, with a grant date fair value of $9.80 per share. There were 10,000 restricted stock awards granted during the three-month period ended April 29, 2018, with a grant-date fair value of $8.40 per share, and 290,000 restricted stock awards granted during the six-month period ended April 29, 2018, with a weighted-average fair value of $8.62 per share. As of April 28, 2019, the total compensation cost not yet recognized related to unvested restricted stock awards was approximately $5.7 million. That cost is expected to be recognized over a weighted-average amortization period of 2.9 years. As of April 28, 2019, there were 698,613 shares of restricted stock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70"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effective tax rate of 25.0% differs from the U.S. statutory rate of 21.0% in the three-month period ended April 28, 2019, primarily due to the elimination of tax benefits in jurisdictions, including the U.S, in which it is not more likely than not that the benefit will be realized; the effects of these eliminations were partially offset by the benefits of tax holidays and investment credits in certain foreign jurisdictions.</w:t>
      </w:r>
    </w:p>
    <w:p>
      <w:pPr>
        <w:spacing w:after="0" w:line="16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effective tax rate of 20.9% differs from the U.S. statutory rate of 21.0% in the six-month period ended April 28, 2019, primarily due to the elimination of the tax benefits in jurisdictions, including the U.S, in which it is not more likely than not that the benefit will be realized; the effects of these eliminations were partially offset by the benefits of the settlement of a tax audit, as well as a tax holiday and investment credits in certain foreign jurisdictions.</w:t>
      </w:r>
    </w:p>
    <w:p>
      <w:pPr>
        <w:spacing w:after="0" w:line="18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Unrecognized tax benefits related to uncertain tax positions were $0.8 million at April 28, 2019, and $1.9 million at October 31, 2018, all of which, if recognized, would favorably impact the Company’s effective tax rate. Accrued interest and penalties related to unrecognized tax benefits was $0.1 million at April 28, 2019 and October 31, 2018. The year to date reduction in the amount primarily resulted from settlement of a tax audit in Taiwan in Q1 FY19. Although the timing of the expirations of statutes of limitations may be uncertain, as they can be dependent upon the settlement of tax audits, the Company believes that it is reasonably possible that an immaterial amount of its uncertain tax positions (including accrued interest and penalties, net of tax benefits) may be resolved over the next twelve months. The resolution of these uncertain tax positions may result from either or both the lapses of statutes of limitations and tax settlements.</w:t>
      </w:r>
    </w:p>
    <w:p>
      <w:pPr>
        <w:spacing w:after="0" w:line="17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were granted a five-year tax holiday in Taiwan which expires at the end of calendar year 2019. This tax holiday reduced foreign taxes by $0.3 million, and $1.1 million in the three and six-month periods ended April 28, 2019, and $0.7 and $0.8 million in the respective prior year periods. The per share impact of the tax holiday was a deminimus amount for the three-month period ended April 28, 2019, and one cent per share for the six-month periods ended April 28, 2019 and April 29, 2018, and the three-month period ended April 29,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effective tax rates of 18.8% and 6.5% differ from the post U.S. Tax Reform blended statutory rate of 23.4% in the three and six-month periods ended April 29, 2018, primarily due to benefits from U.S. and Taiwan Tax Reform (as discussed below), earnings being taxed at lower statutory rates in foreign jurisdictions, and the benefits of various investment credits in a foreign jurisdiction.</w:t>
      </w:r>
    </w:p>
    <w:p>
      <w:pPr>
        <w:spacing w:after="0" w:line="20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Based on the enactment date, we accounted for the Act in our interim period ended January 28, 2018. In December 2017, the Securities and Exchange Commission released Staff Accounting Bulletin No. 118 (“SAB 118”) to address situations in which the accounting under Accounting Standards Codification Topic 740 – “Income Taxes” is incomplete for certain income tax effects of the Act. We adopted SAB 118 in our first quarter of fiscal year 2018, and finalized the effects in our fourth quarter of fiscal 2018. In the period ended January 28, 2018, we recognized the following effects in our provision for income taxes:</w:t>
      </w:r>
    </w:p>
    <w:p>
      <w:pPr>
        <w:spacing w:after="0" w:line="220" w:lineRule="exact"/>
        <w:rPr>
          <w:sz w:val="20"/>
          <w:szCs w:val="20"/>
          <w:color w:val="auto"/>
        </w:rPr>
      </w:pPr>
    </w:p>
    <w:p>
      <w:pPr>
        <w:ind w:left="1060" w:right="80" w:hanging="323"/>
        <w:spacing w:after="0" w:line="27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 repealed the corporate alternative minimum tax (“AMT”) for tax years beginning after December 31, 2017, and provided that existing AMT credit carryforwards are fully refundable. We recognized a $3.9 million benefit on AMT credit carryforwards that we previously determined were not more likely than not going to be realized and reversed the previously-recorded valuation allowance.</w:t>
      </w:r>
    </w:p>
    <w:p>
      <w:pPr>
        <w:ind w:left="1060" w:right="120" w:hanging="323"/>
        <w:spacing w:after="0" w:line="281"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January 1, 2018, the Act reduced the corporate income tax rate from a maximum 35% to a flat 21%, requiring us to revalue our deferred tax assets and liabilities utilizing the rate applicable to the period when a temporary difference will reverse. Our net deferred tax asset is fully offset by a valuation allowance, and the revaluation of the deferred tax assets and liabilities resulted in a net zero impact for the period.</w:t>
      </w:r>
    </w:p>
    <w:p>
      <w:pPr>
        <w:spacing w:after="0" w:line="2" w:lineRule="exact"/>
        <w:rPr>
          <w:rFonts w:ascii="Arial" w:cs="Arial" w:eastAsia="Arial" w:hAnsi="Arial"/>
          <w:sz w:val="16"/>
          <w:szCs w:val="16"/>
          <w:color w:val="auto"/>
        </w:rPr>
      </w:pPr>
    </w:p>
    <w:p>
      <w:pPr>
        <w:ind w:left="1060" w:right="140" w:hanging="323"/>
        <w:spacing w:after="0" w:line="323"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Act imposed a transition tax for a one-time deemed repatriation of the accumulated earnings of foreign subsidiaries. The entire amount of transition tax was fully offset by tax credits (including carryforwards) that resulted in a provisional net zero impact on the period.</w:t>
      </w:r>
    </w:p>
    <w:p>
      <w:pPr>
        <w:spacing w:after="0" w:line="166"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which required us to revalue our deferred tax assets and liabilities utilizing the rate applicable to the period when a temporary difference will reverse. Accordingly, a net benefit of $0.2 million is reflected in our tax provision for the period.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56"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In the first quarter of 2019, the Company adopted Accounting Standards Update No. 2016-16 – “Intra-Entity Transfers Other Than Inventory”, which requires an entity to recognize the income tax consequences of an intra-entity transfer of an asset other than inventory when the transfer occurs. In connection therewith, we recorded a transition adjustment of $1.1 million that reduced prepaid income taxes (included in Other current assets on the condensed consolidated balance sheets) against beginning retained earnings.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9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NOTE 9 - EARNINGS PER SHARE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The calculations of basic and diluted earnings per share is presented below.</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April 28,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April 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Interest expense on convertible notes, net of tax</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Earnings used for diluted earnings per share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8,828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11,161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14,591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Share-based payment awards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160"/>
              <w:spacing w:after="0"/>
              <w:rPr>
                <w:sz w:val="20"/>
                <w:szCs w:val="20"/>
                <w:color w:val="auto"/>
              </w:rPr>
            </w:pPr>
            <w:r>
              <w:rPr>
                <w:rFonts w:ascii="Arial" w:cs="Arial" w:eastAsia="Arial" w:hAnsi="Arial"/>
                <w:sz w:val="18"/>
                <w:szCs w:val="18"/>
                <w:color w:val="auto"/>
              </w:rPr>
              <w:t>Potentially dilutive common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75,052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prices exceeded the average market value of the common shares for the period or, under application of the treasury stock method, they were otherwise determined to be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April 28,</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29,</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April 28,</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18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awards</w:t>
            </w:r>
          </w:p>
        </w:tc>
        <w:tc>
          <w:tcPr>
            <w:tcW w:w="1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219"/>
              <w:spacing w:after="0"/>
              <w:rPr>
                <w:sz w:val="20"/>
                <w:szCs w:val="20"/>
                <w:color w:val="auto"/>
              </w:rPr>
            </w:pPr>
            <w:r>
              <w:rPr>
                <w:rFonts w:ascii="Arial" w:cs="Arial" w:eastAsia="Arial" w:hAnsi="Arial"/>
                <w:sz w:val="14"/>
                <w:szCs w:val="14"/>
                <w:color w:val="auto"/>
              </w:rPr>
              <w:t>20</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six-month periods ended April 28, 2019 and April 29,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gridSpan w:val="12"/>
          </w:tcPr>
          <w:p>
            <w:pPr>
              <w:jc w:val="right"/>
              <w:ind w:right="680"/>
              <w:spacing w:after="0"/>
              <w:rPr>
                <w:sz w:val="20"/>
                <w:szCs w:val="20"/>
                <w:color w:val="auto"/>
              </w:rPr>
            </w:pPr>
            <w:r>
              <w:rPr>
                <w:rFonts w:ascii="Arial" w:cs="Arial" w:eastAsia="Arial" w:hAnsi="Arial"/>
                <w:sz w:val="18"/>
                <w:szCs w:val="18"/>
                <w:b w:val="1"/>
                <w:bCs w:val="1"/>
                <w:color w:val="auto"/>
              </w:rPr>
              <w:t>Three Months Ended April 28, 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1"/>
              </w:rPr>
              <w:t>Foreign Currency</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Translation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2019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971</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(7,054)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(7,029)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28, 2019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2"/>
          </w:tcPr>
          <w:p>
            <w:pPr>
              <w:jc w:val="right"/>
              <w:ind w:right="200"/>
              <w:spacing w:after="0"/>
              <w:rPr>
                <w:sz w:val="20"/>
                <w:szCs w:val="20"/>
                <w:color w:val="auto"/>
              </w:rPr>
            </w:pPr>
            <w:r>
              <w:rPr>
                <w:rFonts w:ascii="Arial" w:cs="Arial" w:eastAsia="Arial" w:hAnsi="Arial"/>
                <w:sz w:val="18"/>
                <w:szCs w:val="18"/>
                <w:b w:val="1"/>
                <w:bCs w:val="1"/>
                <w:color w:val="auto"/>
              </w:rPr>
              <w:t>Three Months Ended April 29, 2018</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580" w:type="dxa"/>
            <w:vAlign w:val="bottom"/>
            <w:gridSpan w:val="5"/>
          </w:tcPr>
          <w:p>
            <w:pPr>
              <w:spacing w:after="0"/>
              <w:rPr>
                <w:sz w:val="20"/>
                <w:szCs w:val="20"/>
                <w:color w:val="auto"/>
              </w:rPr>
            </w:pPr>
            <w:r>
              <w:rPr>
                <w:rFonts w:ascii="Arial" w:cs="Arial" w:eastAsia="Arial" w:hAnsi="Arial"/>
                <w:sz w:val="18"/>
                <w:szCs w:val="18"/>
                <w:b w:val="1"/>
                <w:bCs w:val="1"/>
                <w:color w:val="auto"/>
              </w:rPr>
              <w:t>Foreign Currency</w:t>
            </w:r>
          </w:p>
        </w:tc>
        <w:tc>
          <w:tcPr>
            <w:tcW w:w="13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8"/>
              </w:rPr>
              <w:t>Amortization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87"/>
              </w:rPr>
              <w:t>of 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Adjustments</w:t>
            </w:r>
          </w:p>
        </w:tc>
        <w:tc>
          <w:tcPr>
            <w:tcW w:w="200" w:type="dxa"/>
            <w:vAlign w:val="bottom"/>
            <w:gridSpan w:val="2"/>
          </w:tcPr>
          <w:p>
            <w:pPr>
              <w:spacing w:after="0"/>
              <w:rPr>
                <w:sz w:val="20"/>
                <w:szCs w:val="20"/>
                <w:color w:val="auto"/>
              </w:rPr>
            </w:pPr>
          </w:p>
        </w:tc>
        <w:tc>
          <w:tcPr>
            <w:tcW w:w="11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Flow Hedge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Other</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32,848</w:t>
            </w: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(11,098)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(11,098)</w:t>
            </w:r>
          </w:p>
        </w:tc>
        <w:tc>
          <w:tcPr>
            <w:tcW w:w="1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(loss) income attributable to noncontrolling interests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(2,683)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April 29, 2018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24,433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12"/>
          </w:tcPr>
          <w:p>
            <w:pPr>
              <w:jc w:val="right"/>
              <w:ind w:right="780"/>
              <w:spacing w:after="0"/>
              <w:rPr>
                <w:sz w:val="20"/>
                <w:szCs w:val="20"/>
                <w:color w:val="auto"/>
              </w:rPr>
            </w:pPr>
            <w:r>
              <w:rPr>
                <w:rFonts w:ascii="Arial" w:cs="Arial" w:eastAsia="Arial" w:hAnsi="Arial"/>
                <w:sz w:val="18"/>
                <w:szCs w:val="18"/>
                <w:b w:val="1"/>
                <w:bCs w:val="1"/>
                <w:color w:val="auto"/>
              </w:rPr>
              <w:t>Six Months Ended April 28, 2019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1"/>
              </w:rPr>
              <w:t>Foreign Currency</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Translation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00" w:type="dxa"/>
            <w:vAlign w:val="bottom"/>
            <w:gridSpan w:val="4"/>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(438)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other comprehensive income  attributable to noncontrolling interests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28, 2019</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880" w:type="dxa"/>
            <w:vAlign w:val="bottom"/>
            <w:tcBorders>
              <w:top w:val="single" w:sz="8" w:color="CCEEFF"/>
            </w:tcBorders>
          </w:tcPr>
          <w:p>
            <w:pPr>
              <w:jc w:val="right"/>
              <w:ind w:right="31"/>
              <w:spacing w:after="0"/>
              <w:rPr>
                <w:sz w:val="20"/>
                <w:szCs w:val="20"/>
                <w:color w:val="auto"/>
              </w:rPr>
            </w:pPr>
            <w:r>
              <w:rPr>
                <w:rFonts w:ascii="Arial" w:cs="Arial" w:eastAsia="Arial" w:hAnsi="Arial"/>
                <w:sz w:val="14"/>
                <w:szCs w:val="14"/>
                <w:color w:val="auto"/>
              </w:rPr>
              <w:t>21</w:t>
            </w: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8"/>
                <w:szCs w:val="18"/>
                <w:b w:val="1"/>
                <w:bCs w:val="1"/>
                <w:color w:val="auto"/>
                <w:w w:val="91"/>
              </w:rPr>
              <w:t>Six Months Ended April 29, 2018</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3"/>
              </w:rPr>
              <w:t>Foreign Currency</w:t>
            </w:r>
          </w:p>
        </w:tc>
        <w:tc>
          <w:tcPr>
            <w:tcW w:w="18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Adjustments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30, 2017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Balance at April 29, 2018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24,433</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 due to their short-term maturities. The fair value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We did not have any assets or liabilities measured at fair value, on a recurring or a nonrecurring basis, at April 28, 2019 or October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 Not Measured at Fair Value</w:t>
      </w:r>
    </w:p>
    <w:p>
      <w:pPr>
        <w:spacing w:after="0" w:line="22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fair value of our convertible senior notes was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The table below presents the fair and carrying values of our convertible senior notes at October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90"/>
              </w:rPr>
              <w:t>October 31, 2018</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Carrying Value</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matured 2019</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57,453</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80" w:type="dxa"/>
            <w:vAlign w:val="bottom"/>
          </w:tcPr>
          <w:p>
            <w:pPr>
              <w:jc w:val="right"/>
              <w:ind w:right="47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REPURCHASE PROGRAM</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on October 22, 2018, and was terminated on February 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Six Months Ended</w:t>
            </w:r>
          </w:p>
        </w:tc>
        <w:tc>
          <w:tcPr>
            <w:tcW w:w="80" w:type="dxa"/>
            <w:vAlign w:val="bottom"/>
          </w:tcPr>
          <w:p>
            <w:pPr>
              <w:spacing w:after="0"/>
              <w:rPr>
                <w:sz w:val="18"/>
                <w:szCs w:val="18"/>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From Inception Date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April 28, 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October 22,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459"/>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NOTE 13 - COMMITMENTS AND CONTINGENCIES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April 28, 2019, the Company had commitments outstanding for capital equipment expenditures of approximately $37 million, nearly all of which related to building and equipping our China facilities.</w:t>
      </w:r>
    </w:p>
    <w:p>
      <w:pPr>
        <w:spacing w:after="0" w:line="19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that such claims, individually or in the aggregate, will not have a material effect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to be Implemented</w:t>
      </w:r>
    </w:p>
    <w:p>
      <w:pPr>
        <w:spacing w:after="0" w:line="25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June 2016, the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impairment methodology, found in current GAAP, with a methodology that reflects expected credit losses and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beginning in the first quarter of fiscal year 2019. We are currently evaluating the effect that this ASU will have on our consolidated financial statements.</w:t>
      </w:r>
    </w:p>
    <w:p>
      <w:pPr>
        <w:spacing w:after="0" w:line="2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February 2016, the FASB issued ASU 2016-02 “Leases (Topic 842)” (ASU 2016-02”), which requires lessees to recognize right-of-use assets and corresponding liabilities for all leases with an initial term in excess of twelve months. ASU 2016-02 was to be adopted using a modified retrospective approach, that requires leases to be measured and recognized under the new guidance at the beginning of the earliest period presented. In July 2018, the FASB issued ASU 2018-11 “Leases (Topic 842) – Targeted Improvements” (“ASU 2018-11”), which provided entities with an additional (and optional) transition method to adopt the new leases standard. Under this optional transition method, an entity initially applies the new leases standard at its adoption date and recognizes the effects of adoption through cumulative-effect adjustments to its beginning balance sheet. We will utilize this optional method when we transition to the new leases guidance and, as a result, expect to recognize significant amounts of right of use assets and lease liabilities in our fiscal year 2020 beginning balance sheet. ASU 2016-02 included a number of practical expedients, which we are currently in the process of evaluating, that entities can elect to use as they transition to the new guidance. To date, an implementation team has been established to evaluate the lease portfolio, system process and policy change requirements. The Company has made progress in drafting new lease accounting policies, gathering the necessary data elements for the lease population, and selected a system provider, with system configuration and implementation underway.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Implemented</w:t>
      </w:r>
    </w:p>
    <w:p>
      <w:pPr>
        <w:spacing w:after="0" w:line="25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was effective for Photronics, Inc. in its first quarter of fiscal year 2019 and was applied on a retrospective transition basis. Our adoption of this Update did not materially impact our cash flows statement.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is effective for us in our first quarter of fiscal year 2019 and should be applied on a modified retrospective transition basis. Early adoption is permitted as of the beginning of an annual reporting period for which interim or annual financial statements have not been issued or made available for issuance. Please see Note 8 for a discussion of the effects of adopting the guidance.</w:t>
      </w:r>
    </w:p>
    <w:p>
      <w:pPr>
        <w:spacing w:after="0" w:line="21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superseded nearly all then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deferred the effective date of ASU 2014-09 by one year and allowed entities to early adopt, but no earlier than the original effective date. This update allowed for either full retrospective or modified retrospective adoption. In April 2016, the FASB issued ASU 2016-10 “Identifying Performance Obligations and Licensing” which amended guidance previously issued on these matters in ASU 2014-09. The effective date and transition requirements of ASU 2016-10 were the same as those for ASU 2014-09.</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adopted the new revenue and related guidance on November 1, 2018, using the modified retrospective approach, under which we increased our accounts receivable by $0.6 million, recognized contract assets of $4.6 million, reduced our inventories balance by $3.7 million, and recorded an accrual for income taxes of $0.3 million. The recognition and adjustments to these items was reflected in increases to our retained earnings and noncontrolling interest balances of $1.1 million and $0.1 million, respectively. The most significant impact of the new guidance on our financial statements is its requirement for us to recognize revenue as we manufacture products for which, in the event that the customer cancels the contract, we are entitled to reasonable compensation for work we have completed prior to cancellation. Prior to our adoption of Topic 606, we recognized revenue when we shipped to customers or, under some arrangements, when the customers received the goods. The impact of the adoption of this guidance on our January 27, 2019, financial statements is presented in Note 6.</w:t>
      </w:r>
    </w:p>
    <w:p>
      <w:pPr>
        <w:spacing w:after="0" w:line="219" w:lineRule="exact"/>
        <w:rPr>
          <w:sz w:val="20"/>
          <w:szCs w:val="20"/>
          <w:color w:val="auto"/>
        </w:rPr>
      </w:pPr>
    </w:p>
    <w:p>
      <w:pPr>
        <w:ind w:right="540" w:firstLine="420"/>
        <w:spacing w:after="0" w:line="342" w:lineRule="auto"/>
        <w:rPr>
          <w:sz w:val="20"/>
          <w:szCs w:val="20"/>
          <w:color w:val="auto"/>
        </w:rPr>
      </w:pPr>
      <w:r>
        <w:rPr>
          <w:rFonts w:ascii="Arial" w:cs="Arial" w:eastAsia="Arial" w:hAnsi="Arial"/>
          <w:sz w:val="16"/>
          <w:szCs w:val="16"/>
          <w:color w:val="auto"/>
        </w:rPr>
        <w:t>The guidance allows for a number of accounting policy elections and practical expedients. In addition to our above-mentioned election to use the modified retrospective application method for adopting the guidance, those we have employed that are most significant to us are summarized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 activities performed after control of a good is transferred to a customer</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elected to treat shipping and handling activities that occur after control of a good is transferred to a customer as activities to fulfill our promise to transfer goods to the customer. Thus, such activities will not be considered to be separate performance obligations under contracts with our customers.</w:t>
      </w:r>
    </w:p>
    <w:p>
      <w:pPr>
        <w:spacing w:after="0" w:line="1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Non-recognition of financing component when we transfer goods to a customer and the period between when we transfer and when we are paid will be less than one year</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elected the practical expedient that allows for the non-recognition, as a component of a customer contract, of a financing component when the period between when we transfer a good and when we are paid will be less than one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Exclusion of sales and similar taxes collected from customers in the transaction price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Consistent with our practice before adoption of the new guidance, we will not recognize sales and similar taxes we collect from customers as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an “input method” to measure our progress towards the transfer of control of performance obligations to customers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in our judgment, an input method based on our efforts to satisfy our performance obligations will best serve to depict the transfer of control of our performance obligations to our customers, we have adopted an accounting policy to employ such a method. Our decision was based primarily on the facts that our photomasks are not physically transferred to customers until they are complete, and that we can employ our input-based cost accumulation systems and methods to measure our progress towards the transfer of control of our performance obligations to customers.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Non-disclosure of the transaction prices of unsatisfied or partially satisfied performance obligations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contracts that have an original expected duration of one year or less, we have elected the practical expedient that allows us not to disclose the aggregate transaction prices of unsatisfied or partially-satisfied performance obligations that exist at the end of a reporting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2018 year), that may cause actual results to materially differ from these expectations.</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and FPD designers and manufacturers.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micro-electronic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typically required to fulfill customer orders within a short period of time, sometimes within 24 hours. This results in a minimal level of backlog orders, typically one to two weeks of backlog for IC photomasks and two to three weeks of backlog for FPD photomasks.</w:t>
      </w:r>
    </w:p>
    <w:p>
      <w:pPr>
        <w:spacing w:after="0" w:line="19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 the second quarter of fiscal 2019, PDMC, the Company’s majority owned IC subsidiary in Taiwan, declared a dividend of which 49.99%, or approximately $18.8 million, is payable to noncontrolling interests.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first quarter of fiscal 2019, PDMC paid a dividend, of which 49.99%, or approximately $26.1 million, was paid to noncontrolling interests.</w:t>
      </w:r>
    </w:p>
    <w:p>
      <w:pPr>
        <w:spacing w:after="0" w:line="257"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color w:val="auto"/>
        </w:rPr>
        <w:t xml:space="preserve">In November 2018, PDMCX was approved for credit of $50 million, subject to certain limitations related to PDMCX registered capital at the time of the borrowing, pursuant to which PDMCX will enter into separate loan agreements (“the Project Loans”) for each borrowing. The Project Loans, which are denominated in renminbi, are being used to finance certain capital expenditures in China. PDMCX has agreed to grant a lien on the land, building and certain equipment owned by PDMCX as collateral for the Project Loans. As of April 28, 2019, PDMCX had borrowed $26.3 million against this approval, which includes $11.4 million that was borrowed during the three-month period ended April 28, 2019. </w:t>
      </w:r>
      <w:r>
        <w:rPr>
          <w:rFonts w:ascii="Arial" w:cs="Arial" w:eastAsia="Arial" w:hAnsi="Arial"/>
          <w:sz w:val="17"/>
          <w:szCs w:val="17"/>
          <w:color w:val="auto"/>
        </w:rPr>
        <w:t>Subsequent to April 28, 2019, PDMCX borrowed an additional $9.7 million.</w:t>
      </w:r>
      <w:r>
        <w:rPr>
          <w:rFonts w:ascii="Arial" w:cs="Arial" w:eastAsia="Arial" w:hAnsi="Arial"/>
          <w:sz w:val="21"/>
          <w:szCs w:val="21"/>
          <w:color w:val="auto"/>
        </w:rPr>
        <w:t xml:space="preserve"> Repayments on the amounts borrowed before the three-month period ended April 28, 2019, will be made semiannually, commencing in June 2020 and ending in December 2022. Repayments on the amount borrowed </w:t>
      </w:r>
      <w:r>
        <w:rPr>
          <w:rFonts w:ascii="Arial" w:cs="Arial" w:eastAsia="Arial" w:hAnsi="Arial"/>
          <w:sz w:val="17"/>
          <w:szCs w:val="17"/>
          <w:color w:val="auto"/>
        </w:rPr>
        <w:t>after</w:t>
      </w:r>
      <w:r>
        <w:rPr>
          <w:rFonts w:ascii="Arial" w:cs="Arial" w:eastAsia="Arial" w:hAnsi="Arial"/>
          <w:sz w:val="21"/>
          <w:szCs w:val="21"/>
          <w:color w:val="auto"/>
        </w:rPr>
        <w:t xml:space="preserve"> the three-month period ended </w:t>
      </w:r>
      <w:r>
        <w:rPr>
          <w:rFonts w:ascii="Arial" w:cs="Arial" w:eastAsia="Arial" w:hAnsi="Arial"/>
          <w:sz w:val="17"/>
          <w:szCs w:val="17"/>
          <w:color w:val="auto"/>
        </w:rPr>
        <w:t>January 27</w:t>
      </w:r>
      <w:r>
        <w:rPr>
          <w:rFonts w:ascii="Arial" w:cs="Arial" w:eastAsia="Arial" w:hAnsi="Arial"/>
          <w:sz w:val="20"/>
          <w:szCs w:val="20"/>
          <w:color w:val="auto"/>
        </w:rPr>
        <w:t>, 2019, will be made semiannually, commencing in June 2023 and ending in December 2025. The interest rates on the</w:t>
      </w:r>
      <w:r>
        <w:rPr>
          <w:rFonts w:ascii="Arial" w:cs="Arial" w:eastAsia="Arial" w:hAnsi="Arial"/>
          <w:sz w:val="17"/>
          <w:szCs w:val="17"/>
          <w:color w:val="auto"/>
        </w:rPr>
        <w:t xml:space="preserve"> </w:t>
      </w:r>
      <w:r>
        <w:rPr>
          <w:rFonts w:ascii="Arial" w:cs="Arial" w:eastAsia="Arial" w:hAnsi="Arial"/>
          <w:sz w:val="20"/>
          <w:szCs w:val="20"/>
          <w:color w:val="auto"/>
        </w:rPr>
        <w:t>Project Loans are based on the benchmark lending rate of the People’s Bank of China (4.9% at April 28, 2019). Interest incurred on these loans will be reimbursed through incentives afforded to us by the Xiamen Torch Hi-Tech Industrial Development Zone which, to a prescribed limit, provide for such reimbursements.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first quarter of 2019, PDMCX was approved for credit of $25.0 million, pursuant to which PDMCX may enter into separate loan agreements. No guarantees were required as part of this approval. As of April 28, 2019, PDMCX had borrowed $13.8 million against this approval of which $3.7 million were 90-day loans. The remaining $10.1 million borrowed (the “Working Capital Loans”) is to be repaid semiannually from the dates of the individual borrowings; repayments commenced in May 2019 and end in January 2022. In May 2019, we borrowed an additional $1.9 million against this approval, and repaid $0.1 million. The 90-day loans were repaid in our second quarter of 2019. The Working Capital Loans, which are denominated in renminbi, are being used for general financing purposes, including payments of import and value added taxes. The interest rates on the 90-day loans were the market rate on the date of issuance (4.9%), and interest rates on the Working Capital Loans are approximately 5%, and are based on the RMB Loan Prime Rate of the National Interbank Funding Center, plus a spread of 67.75 basis points. Interest incurred on the loans will be reimbursed through incentives provided by the Xiamen Torch Hi-Tech Industrial Development Zone which, to a prescribed limit, provide for such reimbursements.</w:t>
      </w:r>
    </w:p>
    <w:p>
      <w:pPr>
        <w:spacing w:after="0" w:line="182"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In the fourth quarter of fiscal 2018, we entered into an amended and restated credit agreement (“the new agreement”) that expires in September 2023. The new agreement, which replaced our prior credit agreement, has a $50 million borrowing limit, and a $50 million expansion capacity, which represents a $25 million increase over the previous credit agreement. The new agreement is secured by substantially all of our assets located in the United States and common stock we own in certain of our foreign subsidiaries, and limits the amount we can pay in cash dividends on Photronics, Inc. stock. The new agreement contains the following financial covenants: minimum interest coverage ratio, total leverage ratio and minimum unrestricted cash balance, all of which we were in compliance with at April 28, 2019. We had no outstanding borrowings against the new agreement at April 28, 2019, and $50 million was available for borrowing. The interest rate on the new agreement (2.5% at April 28, 2019) is based on our total leverage ratio at LIBOR plus a spread, as defined in the credit agreement.</w:t>
      </w:r>
    </w:p>
    <w:p>
      <w:pPr>
        <w:spacing w:after="0" w:line="20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fourth quarter of fiscal 2018, the Company’s Board of Directors authorized the repurchase of up to $25 million of its common stock, to be executed in open-market transactions or in accordance with a repurchase plan under rule 10b5-1 of the Securities Act of 1933 (as amended). The share repurchase program commenced, under 10b5-1, on October 22, 2018, and expired on February 1, 2019. In total, we repurchased 1.5 million shares at a cost of $13.8 million (an average of $9.41 per share) under this program.</w:t>
      </w:r>
    </w:p>
    <w:p>
      <w:pPr>
        <w:spacing w:after="0" w:line="21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the first quarter of fiscal 2018, we announced the successful closing of the China joint venture agreement with Dai Nippon Printing Co., Ltd. (“DNP”), which we had agreed to enter into and announced in the third quarter of fiscal 2017 (see discussion below). Under the agreement, our wholly-owned Singapore subsidiary owns 50.01% of the joint venture, which is named Xiamen American Japan Photronics Mask Co., Ltd. (PDMCX), and a subsidiary of DNP owns the remaining 49.99%. The financial results of the joint venture are included in the Photronics, Inc. consolidated financial statements. See Note 4 of the condensed consolidated financial statements for additional information on the joint venture.</w:t>
      </w:r>
    </w:p>
    <w:p>
      <w:pPr>
        <w:spacing w:after="0" w:line="200" w:lineRule="exact"/>
        <w:rPr>
          <w:sz w:val="20"/>
          <w:szCs w:val="20"/>
          <w:color w:val="auto"/>
        </w:rPr>
      </w:pPr>
    </w:p>
    <w:p>
      <w:pPr>
        <w:ind w:right="60" w:firstLine="243"/>
        <w:spacing w:after="0" w:line="272" w:lineRule="auto"/>
        <w:rPr>
          <w:sz w:val="20"/>
          <w:szCs w:val="20"/>
          <w:color w:val="auto"/>
        </w:rPr>
      </w:pPr>
      <w:r>
        <w:rPr>
          <w:rFonts w:ascii="Arial" w:cs="Arial" w:eastAsia="Arial" w:hAnsi="Arial"/>
          <w:sz w:val="17"/>
          <w:szCs w:val="17"/>
          <w:color w:val="auto"/>
        </w:rPr>
        <w:t>In the fourth quarter of fiscal 2017, we announced that Photronics UK, Ltd., a wholly-owned subsidiary of ours, signed an investment agreement with Hefei State Hi-tech Industry Development Zone to establish a manufacturing facility in Hefei, China. Under the terms of the agreement, through our subsidiary, we agreed to invest a minimum of $160 million to build and operate a research and development and manufacturing facility for high-end and mainstream FPD photomasks. As of April 28, 2019, we have met the minimum investment requirement and satisfied the terms of the agreement. Hefei State Hi-tech Industry Development Zone will provide certain investment incentives and support for this facility, which will have initial capability to produce up to G10.5+ large area masks and AMOLED products. Construction of this facility was completed in late 2018, and production commenced in the second quarter of 2019. We expect depreciation expense to increase accordingly as production activities continue to ramp up.</w:t>
      </w:r>
    </w:p>
    <w:p>
      <w:pPr>
        <w:spacing w:after="0" w:line="17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the fourth quarter of 2016, Photronics Singapore Pte, Ltd., a wholly-owned subsidiary, signed an investment agreement with the Administrative Committee of Xiamen Torch Hi-Tech Industrial Development Zone (Xiamen Torch) to establish an IC manufacturing facility in Xiamen, China. Under the terms of the agreement, we will build and operate an IC facility to engage in research and development, manufacture and sale of photomasks, in return for which Xiamen Torch will provide certain investment incentives and support. This expansion is also substantially supported by customer commitments for its output. As discussed above, in the first quarter of fiscal 2018, we entered into a joint venture agreement with DNP, under which they hold a 49.99% ownership interest in this investment. The total investment per the agreement is $160 million, of which approximately $13 million remained for Photronics as of April 28, 2019, and will be funded over the next several quarters with cash and local borrowings. Construction began in 2017 and production is anticipated to commence later in 2019. We expect depreciation expense will increase accordingly as production activities ramp up.</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28, 2019, January 27, 2019 and April 29, 2018, and Six Months ended April 28, 2019 and April 29,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10"/>
              <w:spacing w:after="0" w:line="198" w:lineRule="exact"/>
              <w:rPr>
                <w:sz w:val="20"/>
                <w:szCs w:val="20"/>
                <w:color w:val="auto"/>
              </w:rPr>
            </w:pPr>
            <w:r>
              <w:rPr>
                <w:rFonts w:ascii="Arial" w:cs="Arial" w:eastAsia="Arial" w:hAnsi="Arial"/>
                <w:sz w:val="18"/>
                <w:szCs w:val="18"/>
                <w:b w:val="1"/>
                <w:bCs w:val="1"/>
                <w:color w:val="auto"/>
              </w:rPr>
              <w:t>April 28,</w:t>
            </w: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January 27,</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April 29,</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April 28,</w:t>
            </w:r>
          </w:p>
        </w:tc>
        <w:tc>
          <w:tcPr>
            <w:tcW w:w="11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April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74.9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provision</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Note: All of the following tabular comparisons, unless otherwise indicated, are for the three months ended April 28, 2019 (Q2 FY19), January 27,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(Q1 FY19) and April 29, 2018 (Q2 FY18), and for the six months ended April 28, 2019 (YTD FY19) and April 29, 2018 (YTD FY18), in millions of dollars.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Revenue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Q2 FY19 from Q1 FY19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Q2 FY19 from Q2 FY18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YTD FY19 from YTD FY18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 in</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Increase</w:t>
            </w:r>
          </w:p>
        </w:tc>
        <w:tc>
          <w:tcPr>
            <w:tcW w:w="1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Increase</w:t>
            </w:r>
          </w:p>
        </w:tc>
        <w:tc>
          <w:tcPr>
            <w:tcW w:w="8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Revenue in</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Q2 FY19</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(Decrease)</w:t>
            </w: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(Decrease)</w:t>
            </w:r>
          </w:p>
        </w:tc>
        <w:tc>
          <w:tcPr>
            <w:tcW w:w="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FY19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176"/>
        </w:trPr>
        <w:tc>
          <w:tcPr>
            <w:tcW w:w="2260" w:type="dxa"/>
            <w:vAlign w:val="bottom"/>
            <w:gridSpan w:val="4"/>
          </w:tcPr>
          <w:p>
            <w:pPr>
              <w:spacing w:after="0" w:line="176" w:lineRule="exact"/>
              <w:rPr>
                <w:sz w:val="20"/>
                <w:szCs w:val="20"/>
                <w:color w:val="auto"/>
              </w:rPr>
            </w:pPr>
            <w:r>
              <w:rPr>
                <w:rFonts w:ascii="Arial" w:cs="Arial" w:eastAsia="Arial" w:hAnsi="Arial"/>
                <w:sz w:val="18"/>
                <w:szCs w:val="18"/>
                <w:color w:val="auto"/>
              </w:rPr>
              <w:t>IC</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3"/>
          </w:tcPr>
          <w:p>
            <w:pPr>
              <w:ind w:left="16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120.5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193.5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4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3"/>
          </w:tcPr>
          <w:p>
            <w:pPr>
              <w:ind w:left="16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right"/>
              <w:ind w:right="750"/>
              <w:spacing w:after="0"/>
              <w:rPr>
                <w:sz w:val="20"/>
                <w:szCs w:val="20"/>
                <w:color w:val="auto"/>
              </w:rPr>
            </w:pPr>
            <w:r>
              <w:rPr>
                <w:rFonts w:ascii="Arial" w:cs="Arial" w:eastAsia="Arial" w:hAnsi="Arial"/>
                <w:sz w:val="14"/>
                <w:szCs w:val="14"/>
                <w:color w:val="auto"/>
              </w:rPr>
              <w:t>27</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40" w:type="dxa"/>
            <w:vAlign w:val="bottom"/>
            <w:gridSpan w:val="8"/>
          </w:tcPr>
          <w:p>
            <w:pPr>
              <w:jc w:val="right"/>
              <w:spacing w:after="0"/>
              <w:rPr>
                <w:sz w:val="20"/>
                <w:szCs w:val="20"/>
                <w:color w:val="auto"/>
              </w:rPr>
            </w:pPr>
            <w:r>
              <w:rPr>
                <w:rFonts w:ascii="Arial" w:cs="Arial" w:eastAsia="Arial" w:hAnsi="Arial"/>
                <w:sz w:val="18"/>
                <w:szCs w:val="18"/>
                <w:color w:val="auto"/>
                <w:w w:val="89"/>
              </w:rPr>
              <w:t>The following tables present revenue changes by geographic area:</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Q2 FY19 from Q1 FY19</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Q2 FY19 from Q2 FY18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YTD FY19 from YTD FY18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 in</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Increase</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Increase</w:t>
            </w:r>
          </w:p>
        </w:tc>
        <w:tc>
          <w:tcPr>
            <w:tcW w:w="8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 in</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Q2 FY19</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FY19</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256.3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w:t>
      </w:r>
    </w:p>
    <w:p>
      <w:pPr>
        <w:spacing w:after="0" w:line="20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Revenue increased 5.5% in Q2 FY19, compared with Q1 FY19, as a result of high-end IC and overall FPD growth. High-end IC revenues increased $3.8 million due to increased demand for NAND and foundry DRAM masks in Asia. FPD revenue increased $3.2 million (high-end $1.5 million and mainstream $1.7 million) as demand increased for AMOLED (high-end) and LTPS LCD (mainstream) mobile displays. IC mainstream revenue decreased 0.3%, as demand was slightly softer. High-end photomask applications include mask sets for 28 nanometer and smaller products for IC, and G8 and above and active matrix organic light-emitting diode (AMOLED) display technologies for FPD products. High-end photomasks typically have higher selling prices than mainstream products.</w:t>
      </w:r>
    </w:p>
    <w:p>
      <w:pPr>
        <w:spacing w:after="0" w:line="220"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Revenue increased 0.6% in Q2 FY19, compared with Q2 FY18, primarily as a result of high-end FPD growth, which increased 25.9% from Q2 FY18, due to increase demand for AMOLED products. IC revenue decreased 3.6% as demand moderated from the prior year quarter.</w:t>
      </w:r>
    </w:p>
    <w:p>
      <w:pPr>
        <w:spacing w:after="0" w:line="17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Revenue increased 0.8% in YTD Q2 2019, compared with YTD Q2 2018, as high-end FPD revenue, led by an increase in demand for AMOLED display masks, grew 20.0%. Demand for IC masks for both memory and logic applications fell from YTD Q218, as did demand for mainstream FPD masks.</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Looking ahead, we expect demand for mobile applications to remain strong, and anticipate that our shipments of high-end large area FPD masks will increase. We recently entered into purchase agreements with a large China-based IC customer (our second such agreement) and two FPD customers, also based in China. Hence, we are optimistic that overall demand for our photomasks will be stable to improving. Our optimism is somewhat tempered by the current uncertainty surrounding China – U.S. trade relations.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Percent</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Q2 FY19</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Q1 FY19</w:t>
            </w: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Q2 FY18</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YTD FY18</w:t>
            </w:r>
          </w:p>
        </w:tc>
        <w:tc>
          <w:tcPr>
            <w:tcW w:w="260" w:type="dxa"/>
            <w:vAlign w:val="bottom"/>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10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26.1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52.1</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60.5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20.9%</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25.1%</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23.8%</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Gross margin decreased 1.1% from Q1 FY19, as the increase in revenue discussed above was offset by increased compensation expense of $0.6 million, primarily the result of Q2 FY19 having three more days than Q1 FY19. Depreciation expense increased $0.9 million from the prior quarter due both to the additional days in Q2 FY19 and the commencement of depreciation of equipment in our China FPD plant, which began production in April 2019. In addition, inbound freight expense increased $0.5 million sequentially, with much of the increase related to the ramp-up of our China FPD plant, as did service contract expenses of $0.4 million, primarily caused by additional equipment being placed under service contracts at our Korea-based facility. Transfers of manufacturing overhead costs to research and development decreased by $1.0 million from last quarter, reflecting a reduction of qualification activity. These increases were somewhat offset by decreased equipment relocation costs of $1.7 million at our IC facility in China, since the relocated equipment is now in place. Material costs were consistent, as a percentage of revenue, in both periods.</w:t>
      </w:r>
    </w:p>
    <w:p>
      <w:pPr>
        <w:sectPr>
          <w:pgSz w:w="11900" w:h="16838" w:orient="portrait"/>
          <w:cols w:equalWidth="0" w:num="1">
            <w:col w:w="11420"/>
          </w:cols>
          <w:pgMar w:left="240" w:top="114"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Gross margin decreased 5.3% in Q2 FY19 from Q2 FY18, despite a modest 0.6% increase in revenue from the prior year quarter. The decrease was, in significant part, due to increased losses at our two China facilities of $2.3 million, one of which commenced manufacturing operations in April 2019; the other facility is anticipated to commence operations later in the year. Transfers of manufacturing overhead costs to research and development decreased by $0.6 million from the prior year quarter, reflecting a reduction of qualification activity. Depreciation expense decreased $2.3 million from the prior year quarter (the placement of equipment into service at one of our China-based facilities, notwithstanding), as certain equipment in the U.S. and Korea reached the end of their depreciable lives during the period between the two comparative quarters. Service contract expense increased $0.9 million from Q2 FY18 in response to additional equipment placed under service contracts in the U.S. and Korea. Material costs were consistent, as a percentage of revenue, in both periods.</w:t>
      </w:r>
    </w:p>
    <w:p>
      <w:pPr>
        <w:spacing w:after="0" w:line="219" w:lineRule="exact"/>
        <w:rPr>
          <w:sz w:val="20"/>
          <w:szCs w:val="20"/>
          <w:color w:val="auto"/>
        </w:rPr>
      </w:pPr>
    </w:p>
    <w:p>
      <w:pPr>
        <w:jc w:val="both"/>
        <w:ind w:right="240" w:firstLine="324"/>
        <w:spacing w:after="0" w:line="257" w:lineRule="auto"/>
        <w:rPr>
          <w:sz w:val="20"/>
          <w:szCs w:val="20"/>
          <w:color w:val="auto"/>
        </w:rPr>
      </w:pPr>
      <w:r>
        <w:rPr>
          <w:rFonts w:ascii="Arial" w:cs="Arial" w:eastAsia="Arial" w:hAnsi="Arial"/>
          <w:sz w:val="18"/>
          <w:szCs w:val="18"/>
          <w:color w:val="auto"/>
        </w:rPr>
        <w:t>On a year-to-date basis, gross margin decreased 3.5%, with increased losses totaling $5.6 million at our two China-based facilities the most significant cause. Service contract expense increased $1.4 million from Q2 FY18, primarily in response to additional equipment placed under service contracts. These and other individually less-significant increases were marginally offset by a reduction in depreciation expense of $5.2 million, excluding China, as certain tools reached the end of their depreciable lives during the time between the two periods. Material costs were consistent, as a percentage of revenue, in both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Selling, general and administrative expenses decreased $0.5 million, or 3.8%, to $13.3 million in Q2 FY19, from $13.8 million in Q1 FY19, primarily due to decreased non-China compensation related expenses of $0.9 million, which were the result of reduced health insurance costs, share-based compensation expense, and other savings. Smaller increases in other categories somewhat offset these reductions. Selling, general and administrative expenses decreased in Q2 FY19 $0.4 million, or 2.7%, to $13.3 million from $13.6 million in Q2 FY18; the decrease was primarily a result of lower compensation-related expenses of $0.8 million, somewhat offset by costs associated with the opening of our China-based facilities and smaller increases in other categories. On a year-to-date basis, selling, general and administrative expenses increased $1.7 million, or 6.6%, to $27.1 million from $25.4 million. Expenses related to our expansion into China accounted for $1.3 million of this increase, with compensation related expenses of $0.4 million being the largest single component.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Research and development expenses consist of development efforts related to high-end process technologies for 28nm and smaller IC nodes. In Asia, in addition to the focus on high-end IC process technology nodes, G8 and above FPDs and AMOLED applications are also under development.</w:t>
      </w:r>
    </w:p>
    <w:p>
      <w:pPr>
        <w:spacing w:after="0" w:line="1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Research and development expense decreased $0.7 million, or 16.9%, from Q1 FY19, reflecting a decline in IC qualification activities, which was somewhat offset by an increase in FPD qualifications, including initial qualification activities at our China-based FPD facility. Research and development expense was down $0.3 million in Q2 FY19, or 7.2%, lower than Q2 FY18, and $0.1 million or 1.5% in YTD FY19 lower than YTD FY18, as decreased IC-related activity was somewhat offset by initial qualification activity at our China-based FPD facility.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Q2 FY19</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Q1 FY19</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Q2 FY18</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YTD FY19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income and other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Interest income and other income (expense), net increased from Q1 FY19 by $2.6 million primarily due to a $2.9 million increase in foreign currency exchange gains in Q2 FY19. Interest income and other income (expense), net increased from Q2 FY18 by $0.4 million as a result of increased foreign currency exchange gains of $1.7 million, the effects of which were partially offset by gains on the sale of certain assets in Q2 FY18 of $0.6 million that did not repeat in Q2 FY19, and reduced interest income of $0.4 million, reflecting lower average cash balance in the current year quarter. On a year-to-date basis, Interest income and other income (expense), net increased $5.6 million primarily as a result of the impact of $7.5 million from foreign currency exchange gains in YTD FY19, in contrast to losses incurred in YTD FY18, somewhat offset by the previously-mentioned $0.6 million gain on the sale of certain assets in YTD FY18, and reduced interest income of $0.6 million, due to the lower average cash balance in the current year period.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Interest expense decreased $0.2 million in Q2 FY19 from both Q1 FY19 and Q2 FY18, primarily as a result of the repayment of the $57.5 million convertible senior notes in April 2019. On a year-to-date basis, Interest expense also decreased $0.2 million, which was also principally the result of the repayment of the senior convertible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0"/>
              </w:rPr>
              <w:t>Three Months Ended</w:t>
            </w:r>
          </w:p>
        </w:tc>
        <w:tc>
          <w:tcPr>
            <w:tcW w:w="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Q2 FY19</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Q1 FY19</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Q2 FY18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YTD FY19</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YTD FY18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effective income tax rate increased in Q2 FY19, compared with Q1 FY19, primarily due to the non-recurring impact of an audit settlement accounted for discretely in Q1 FY19 and changes in the jurisdictional mix of earnings. The effective income tax rate increased in Q2 FY19, compared with Q2 FY18 due to changes in the jurisdictional mix of earnings.</w:t>
      </w:r>
    </w:p>
    <w:p>
      <w:pPr>
        <w:spacing w:after="0" w:line="208"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effective income tax rate increased in YTD FY19, compared with YTD FY18, primarily due to Q1 FY18 nonrecurring tax benefits ($4.2 million) related to tax reform in the US and Taiwan, that were partially offset by a one-time audit settlement benefit in Q1 FY19, as well as changes in jurisdictional mix of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attributable to noncontrolling interests was $1.4 million in Q2 FY19, which represented a decrease of $1.1 million and $3.2 million from Q1 FY19 and Q2 FY18, respectively. Year-to-date, noncontrolling interests’ share decreased $4.2 million from YTD FY18. The changes for all comparative periods were due to changes in net income at our IC manufacturing facilities in Taiwan and China, in which noncontrolling interests hold 49.99% ownership interests.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Our working capital at the end of Q2 FY19 was $232.7 million, compared with $311.7 million at the end of Q4 FY18. The $79.0 million decrease is primarily attributable to a decrease in our cash and cash equivalents of $104.8 million (net of $57.5 million used to repay our senior convertible notes, which did not impact working capital). Significant factors contributing to the decrease in our cash balance were $114.9 million used to purchase capital assets (the preponderance of which related to equipping our China-based facilities), and $10.7 million to repurchase our common stock. Our working capital increased due to incentives received and receivable from Chinese government authorities of $19.1 million, and reduced accounts payable of $9.0 million, which was predominantly the result of an $8.6 million decrease from Q4 FY18 of amounts we owed for capital equipment purchases. Cash and cash equivalents decreased in fiscal year 2019 by $162.2 million to $167.1 million from $329.3 million at October 31, 2018. Net cash used in operating activities was $2.3 million in YTD FY19, compared with $37.9 million provided in YTD FY18. The unfavorable movement in operating cash flows was largely the result of a $37.3 million increase in prepaid value-added taxes at our two China facilities. These prepayments are recoverable through future sales transactions of the facilities. The favorable effects of foreign currency exchange rates contributed $2.8 million to our reported cash balance at April 28, 2019.</w:t>
      </w:r>
    </w:p>
    <w:p>
      <w:pPr>
        <w:spacing w:after="0" w:line="196"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Net cash used in investing activities was $134.8 million in YTD FY19, an increase of $90.9 million from the $43.8 million used in YTD FY18. The increase was primarily attributable to increased capital expenditures of $96.3 million, in excess of ninety percent of which related to the building and equipping of our China facilities. Cash flows from financing activities decreased from funds provided of $12.7 million in YTD FY18 to $28.0 million of funds used in YTD FY19. In YTD FY19, significant uses of cash in finance activities included the $57.5 million repayment (upon their maturity), of our senior convertible notes, dividends of $26.1 million paid to DNP (related to their 49.99% interest in our IC facility in Taiwan), and $10.7 million to acquire our common stock under a share repurchase program. We received cash in YTD FY19 in the forms of a $29.4 million contribution from DNP for their investment in our recently established IC joint venture in China, and loans of $39.6 million to equip and provide working capital for that same facility.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As of April 28, 2019, and October 31, 2018, our total cash and cash equivalents included $134.5 million and $244.5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Our foreign subsidiaries continue to grow through the reinvestment of earnings in additional manufacturing capacity and capability, particularly in the high-end IC and FPD areas.</w:t>
      </w:r>
    </w:p>
    <w:p>
      <w:pPr>
        <w:spacing w:after="0" w:line="19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of April 28, 2019, we had capital commitments outstanding of approximately $37 million, nearly all of which related to building and equipping our China facilities (discussed below). We intend to finance our capital expenditures with our working capital, cash generated from operations and, if necessary, additional borrowings. We have entered into a joint venture that is constructing an IC facility in China with an estimated total joint investment of $160 million. Our remaining funding commitment for the joint venture is approximately $13 million which we will fulfill over the next several quarters. In Q2 FY19, we commenced production at our newly constructed FPD facility in China in which, as of April 28, 2019, we had invested $160 million.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capital requirements exceed our existing cash, cash generated by operations, and cash available under our credit facilities.</w:t>
      </w:r>
    </w:p>
    <w:p>
      <w:pPr>
        <w:spacing w:after="0" w:line="20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January 2018, Photronics, through its wholly-owned Singapore subsidiary, and DNP, through its wholly-owned subsidiary “DNP Asia Pacific PTE, Ltd.” entered into a joint venture under which DNP obtained a 49.99% interest in our IC business in Xiamen, China. The joint venture, known as “Photronics DNP Mask Corporation Xiamen” (“PDMCX”), was established to develop and manufacture photomasks for leading edge and advanced generation semiconductors. Under the Joint Venture Operating Agreement of PDMCX (“the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April 28, 2019, Photronics and DNP each had net investments in PDMCX of approximately $44.7 million.</w:t>
      </w:r>
    </w:p>
    <w:p>
      <w:pPr>
        <w:spacing w:after="0" w:line="21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majority of our revenue growth is expected to continue to come from the Asia region, predominantly China. In response to this expectation, we have entered into a joint venture that completed the construction of an IC research and development and manufacturing facility in Xiamen, China, in late 2018. Production is anticipated to begin at this facility in the second half of 2019. In addition, in August 2017, we entered into an investment agreement to construct an FPD manufacturing facility in Hefei, China. Construction of this facility was completed in late 2018, and production commenced in the second quarter of 2019.</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make continual assessments of our global manufacturing strategy and monitor our revenue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While various risks and uncertainties were discussed in Part1, Item 1A in our Annual Report on Form 10-K for the year ended October 31, 2018, a number of other unforeseen factors could cause actual results to differ materially from our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49" w:lineRule="exact"/>
        <w:rPr>
          <w:sz w:val="20"/>
          <w:szCs w:val="20"/>
          <w:color w:val="auto"/>
        </w:rPr>
      </w:pPr>
    </w:p>
    <w:p>
      <w:pPr>
        <w:ind w:firstLine="324"/>
        <w:spacing w:after="0" w:line="328" w:lineRule="auto"/>
        <w:rPr>
          <w:sz w:val="20"/>
          <w:szCs w:val="20"/>
          <w:color w:val="auto"/>
        </w:rPr>
      </w:pPr>
      <w:r>
        <w:rPr>
          <w:rFonts w:ascii="Arial" w:cs="Arial" w:eastAsia="Arial" w:hAnsi="Arial"/>
          <w:sz w:val="19"/>
          <w:szCs w:val="19"/>
          <w:color w:val="auto"/>
        </w:rPr>
        <w:t>See “Item 1. Condensed Consolidated Financial Statements – Notes to Condensed Consolidated Financial Statements – Note 14 – Recent Accounting Pronouncements” for recent accounting pronouncements that may affect the Company’s financial reporting.</w:t>
      </w:r>
    </w:p>
    <w:p>
      <w:pPr>
        <w:spacing w:after="0" w:line="1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have transactions and balances in Japanese yen.</w:t>
      </w:r>
    </w:p>
    <w:p>
      <w:pPr>
        <w:spacing w:after="0" w:line="21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and collect for products in a currency other than the functional currency of the country where it was produced, or purchase products in a currency that differs from the functional currency of the purchasing entity.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2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As of April 28, 2019, a 10% adverse movement in the value of currencies different than the functional currencies of our subsidiaries would have resulted in a net unrealized pre-tax loss of $34.1 million, which represents an increase of $20.9 million from our exposure at October 31, 2018. The increase in foreign currency rate change risk is primarily the result of increased exposures of the Chinese renminbi, South Korean won and New Taiwan dollar against the U.S. dollar. We do not believe that a 10% change in the exchange rates of non-US dollar currencies, other than the aforementioned currencies and the Japanese Yen, would have had a material effect on our April 28, 2019,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the Company will be reimbursed for interest incurred on our outstanding variable rate borrowings through incentives afforded to us by government authorities under agreements currently in place, we did not have any interest rate risk as of April 28, 2019.</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year 2019 that has materially affected, or is reasonably likely to materially affect, our internal control over financial reporting.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have been no material changes to risks relating to our business as disclosed in Part 1, Item 1A of our Form 10-K for the year ended October 31, 2018</w:t>
      </w:r>
      <w:r>
        <w:rPr>
          <w:rFonts w:ascii="Arial" w:cs="Arial" w:eastAsia="Arial" w:hAnsi="Arial"/>
          <w:sz w:val="18"/>
          <w:szCs w:val="18"/>
          <w:b w:val="1"/>
          <w:bCs w:val="1"/>
          <w:color w:val="auto"/>
        </w:rPr>
        <w:t>.</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repurchase program was terminated February 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Total Number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Shares Purchased</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Paid</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Per share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Program (in millions)</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392"/>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12, 2018 – October 31, 2018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November 1, 2018 – November 25, 2018</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26, 2018 – December 23, 2018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December 24, 2018 – January 27, 2019</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w w:val="95"/>
              </w:rPr>
              <w:t>11.2*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The share repurchase program was terminated on February 1, 2019, with no additional shares being purchased subsequent to January 27, 2019.</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3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385"/>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1600" w:type="dxa"/>
            <w:vAlign w:val="bottom"/>
          </w:tcPr>
          <w:p>
            <w:pPr>
              <w:ind w:left="1220"/>
              <w:spacing w:after="0"/>
              <w:rPr>
                <w:sz w:val="20"/>
                <w:szCs w:val="20"/>
                <w:color w:val="auto"/>
              </w:rPr>
            </w:pPr>
            <w:r>
              <w:rPr>
                <w:rFonts w:ascii="Arial" w:cs="Arial" w:eastAsia="Arial" w:hAnsi="Arial"/>
                <w:sz w:val="18"/>
                <w:szCs w:val="18"/>
                <w:color w:val="auto"/>
              </w:rPr>
              <w:t>(a)</w:t>
            </w:r>
          </w:p>
        </w:tc>
        <w:tc>
          <w:tcPr>
            <w:tcW w:w="1180" w:type="dxa"/>
            <w:vAlign w:val="bottom"/>
            <w:gridSpan w:val="3"/>
          </w:tcPr>
          <w:p>
            <w:pPr>
              <w:ind w:left="160"/>
              <w:spacing w:after="0"/>
              <w:rPr>
                <w:sz w:val="20"/>
                <w:szCs w:val="20"/>
                <w:color w:val="auto"/>
              </w:rPr>
            </w:pPr>
            <w:r>
              <w:rPr>
                <w:rFonts w:ascii="Arial" w:cs="Arial" w:eastAsia="Arial" w:hAnsi="Arial"/>
                <w:sz w:val="18"/>
                <w:szCs w:val="18"/>
                <w:color w:val="auto"/>
              </w:rPr>
              <w:t>Exhibits</w:t>
            </w:r>
          </w:p>
        </w:tc>
        <w:tc>
          <w:tcPr>
            <w:tcW w:w="832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w:t>
            </w:r>
          </w:p>
        </w:tc>
        <w:tc>
          <w:tcPr>
            <w:tcW w:w="832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80" w:type="dxa"/>
            <w:vAlign w:val="bottom"/>
            <w:gridSpan w:val="3"/>
          </w:tcPr>
          <w:p>
            <w:pPr>
              <w:ind w:left="160"/>
              <w:spacing w:after="0"/>
              <w:rPr>
                <w:sz w:val="20"/>
                <w:szCs w:val="20"/>
                <w:color w:val="auto"/>
              </w:rPr>
            </w:pPr>
            <w:r>
              <w:rPr>
                <w:rFonts w:ascii="Arial" w:cs="Arial" w:eastAsia="Arial" w:hAnsi="Arial"/>
                <w:sz w:val="18"/>
                <w:szCs w:val="18"/>
                <w:b w:val="1"/>
                <w:bCs w:val="1"/>
                <w:color w:val="auto"/>
              </w:rPr>
              <w:t>Number</w:t>
            </w:r>
          </w:p>
        </w:tc>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16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3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2"/>
              </w:rPr>
              <w:t>Certification of Chief Executive Officer pursuant to Rule 13a-14(a)/15d-14(a) of the Securities Exchange Act</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16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3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3"/>
              </w:rPr>
              <w:t>Certification of Chief Financial Officer pursuant to Rule 13a-14(a)/15d-14(a) of the Securities Exchange Act</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16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83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176"/>
        </w:trPr>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1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83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101.INS</w:t>
            </w: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101.SCH</w:t>
            </w: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101.CAL</w:t>
            </w: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101.DEF</w:t>
            </w: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101.LAB</w:t>
            </w: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101.PRE</w:t>
            </w: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20" w:type="dxa"/>
            <w:vAlign w:val="bottom"/>
          </w:tcPr>
          <w:p>
            <w:pPr>
              <w:ind w:left="2040"/>
              <w:spacing w:after="0"/>
              <w:rPr>
                <w:sz w:val="20"/>
                <w:szCs w:val="20"/>
                <w:color w:val="auto"/>
              </w:rPr>
            </w:pPr>
            <w:r>
              <w:rPr>
                <w:rFonts w:ascii="Arial" w:cs="Arial" w:eastAsia="Arial" w:hAnsi="Arial"/>
                <w:sz w:val="18"/>
                <w:szCs w:val="18"/>
                <w:b w:val="1"/>
                <w:bCs w:val="1"/>
                <w:color w:val="auto"/>
              </w:rPr>
              <w:t>SIGNATURES</w:t>
            </w:r>
          </w:p>
        </w:tc>
      </w:tr>
    </w:tbl>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60"/>
        <w:spacing w:after="0"/>
        <w:tabs>
          <w:tab w:leader="none" w:pos="1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0237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jc w:val="center"/>
        <w:ind w:right="70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2019</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2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38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2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0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80" w:right="680" w:hanging="486"/>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0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40" w:hanging="486"/>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0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00" w:right="320" w:hanging="40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00" w:right="600" w:hanging="40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00" w:right="780" w:hanging="40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00" w:hanging="40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2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right="240" w:hanging="406"/>
        <w:spacing w:after="0" w:line="308"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00" w:right="200" w:hanging="40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46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28, 2019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46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April 28, 2019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6277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28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2019-12-28T11:00:16Z</dcterms:created>
  <dcterms:modified xsi:type="dcterms:W3CDTF">2019-12-28T11:00:16Z</dcterms:modified>
</cp:coreProperties>
</file>