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40" w:right="1440" w:hanging="3832"/>
        <w:spacing w:after="0" w:line="286" w:lineRule="auto"/>
        <w:tabs>
          <w:tab w:leader="none" w:pos="65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 2025</w:t>
      </w:r>
    </w:p>
    <w:p>
      <w:pPr>
        <w:spacing w:after="0" w:line="155" w:lineRule="exact"/>
        <w:rPr>
          <w:sz w:val="24"/>
          <w:szCs w:val="24"/>
          <w:color w:val="auto"/>
        </w:rPr>
      </w:pPr>
    </w:p>
    <w:p>
      <w:pPr>
        <w:ind w:left="4040" w:right="1420" w:hanging="4032"/>
        <w:spacing w:after="0" w:line="500" w:lineRule="auto"/>
        <w:tabs>
          <w:tab w:leader="none" w:pos="64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highlight w:val="black"/>
        </w:rPr>
      </w:pPr>
    </w:p>
    <w:p>
      <w:pPr>
        <w:ind w:left="43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2520" w:type="dxa"/>
            <w:vAlign w:val="bottom"/>
          </w:tcPr>
          <w:p>
            <w:pPr>
              <w:spacing w:after="0"/>
              <w:rPr>
                <w:sz w:val="19"/>
                <w:szCs w:val="19"/>
                <w:color w:val="auto"/>
              </w:rPr>
            </w:pPr>
          </w:p>
        </w:tc>
        <w:tc>
          <w:tcPr>
            <w:tcW w:w="40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7180" w:type="dxa"/>
            <w:vAlign w:val="bottom"/>
            <w:gridSpan w:val="3"/>
          </w:tcPr>
          <w:p>
            <w:pPr>
              <w:jc w:val="center"/>
              <w:ind w:right="15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2520" w:type="dxa"/>
            <w:vAlign w:val="bottom"/>
          </w:tcPr>
          <w:p>
            <w:pPr>
              <w:spacing w:after="0"/>
              <w:rPr>
                <w:sz w:val="24"/>
                <w:szCs w:val="24"/>
                <w:color w:val="auto"/>
              </w:rPr>
            </w:pPr>
          </w:p>
        </w:tc>
        <w:tc>
          <w:tcPr>
            <w:tcW w:w="40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520" w:type="dxa"/>
            <w:vAlign w:val="bottom"/>
          </w:tcPr>
          <w:p>
            <w:pPr>
              <w:spacing w:after="0"/>
              <w:rPr>
                <w:sz w:val="20"/>
                <w:szCs w:val="20"/>
                <w:color w:val="auto"/>
              </w:rPr>
            </w:pPr>
          </w:p>
        </w:tc>
        <w:tc>
          <w:tcPr>
            <w:tcW w:w="406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66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20" w:type="dxa"/>
            <w:vAlign w:val="bottom"/>
          </w:tcPr>
          <w:p>
            <w:pPr>
              <w:spacing w:after="0"/>
              <w:rPr>
                <w:sz w:val="24"/>
                <w:szCs w:val="24"/>
                <w:color w:val="auto"/>
              </w:rPr>
            </w:pPr>
          </w:p>
        </w:tc>
        <w:tc>
          <w:tcPr>
            <w:tcW w:w="406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Securities registered pursuant to Section 12(b) of the Act:</w:t>
            </w:r>
          </w:p>
        </w:tc>
        <w:tc>
          <w:tcPr>
            <w:tcW w:w="25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06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231F20"/>
                <w:w w:val="99"/>
              </w:rPr>
              <w:t>Trading Symbol(s)</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6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PLAB</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289"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Large Accelerated</w:t>
            </w:r>
          </w:p>
        </w:tc>
        <w:tc>
          <w:tcPr>
            <w:tcW w:w="20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Smaller</w:t>
            </w:r>
          </w:p>
        </w:tc>
        <w:tc>
          <w:tcPr>
            <w:tcW w:w="16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Emerging</w:t>
            </w:r>
          </w:p>
        </w:tc>
      </w:tr>
      <w:tr>
        <w:trPr>
          <w:trHeight w:val="180"/>
        </w:trPr>
        <w:tc>
          <w:tcPr>
            <w:tcW w:w="178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Filer</w:t>
            </w:r>
          </w:p>
        </w:tc>
        <w:tc>
          <w:tcPr>
            <w:tcW w:w="208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48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300" w:type="dxa"/>
            <w:vAlign w:val="bottom"/>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640" w:type="dxa"/>
            <w:vAlign w:val="bottom"/>
          </w:tcPr>
          <w:p>
            <w:pPr>
              <w:jc w:val="center"/>
              <w:ind w:left="250"/>
              <w:spacing w:after="0" w:line="181" w:lineRule="exact"/>
              <w:rPr>
                <w:sz w:val="20"/>
                <w:szCs w:val="20"/>
                <w:color w:val="auto"/>
              </w:rPr>
            </w:pPr>
            <w:r>
              <w:rPr>
                <w:rFonts w:ascii="Times New Roman" w:cs="Times New Roman" w:eastAsia="Times New Roman" w:hAnsi="Times New Roman"/>
                <w:sz w:val="18"/>
                <w:szCs w:val="18"/>
                <w:color w:val="auto"/>
              </w:rPr>
              <w:t>Growth Company</w:t>
            </w:r>
          </w:p>
        </w:tc>
      </w:tr>
      <w:tr>
        <w:trPr>
          <w:trHeight w:val="303"/>
        </w:trPr>
        <w:tc>
          <w:tcPr>
            <w:tcW w:w="1780" w:type="dxa"/>
            <w:vAlign w:val="bottom"/>
          </w:tcPr>
          <w:p>
            <w:pPr>
              <w:jc w:val="center"/>
              <w:ind w:right="370"/>
              <w:spacing w:after="0" w:line="181" w:lineRule="exact"/>
              <w:rPr>
                <w:sz w:val="20"/>
                <w:szCs w:val="20"/>
                <w:color w:val="auto"/>
              </w:rPr>
            </w:pPr>
            <w:r>
              <w:rPr>
                <w:rFonts w:ascii="MS PGothic" w:cs="MS PGothic" w:eastAsia="MS PGothic" w:hAnsi="MS PGothic"/>
                <w:sz w:val="18"/>
                <w:szCs w:val="18"/>
                <w:color w:val="auto"/>
                <w:w w:val="88"/>
              </w:rPr>
              <w:t>☒</w:t>
            </w:r>
          </w:p>
        </w:tc>
        <w:tc>
          <w:tcPr>
            <w:tcW w:w="208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24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300" w:type="dxa"/>
            <w:vAlign w:val="bottom"/>
          </w:tcPr>
          <w:p>
            <w:pPr>
              <w:jc w:val="center"/>
              <w:ind w:left="50"/>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59,004,625 shares of common stock outstanding as of September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3,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4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8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120" w:type="dxa"/>
            <w:vAlign w:val="bottom"/>
            <w:tcBorders>
              <w:top w:val="single" w:sz="8" w:color="0000EE"/>
            </w:tcBorders>
            <w:gridSpan w:val="2"/>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94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rPr>
                <w:sz w:val="17"/>
                <w:szCs w:val="17"/>
                <w:color w:val="auto"/>
              </w:rPr>
            </w:pP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3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73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80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16"/>
        </w:trPr>
        <w:tc>
          <w:tcPr>
            <w:tcW w:w="206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r>
      <w:tr>
        <w:trPr>
          <w:trHeight w:val="196"/>
        </w:trPr>
        <w:tc>
          <w:tcPr>
            <w:tcW w:w="20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780" w:type="dxa"/>
            <w:vAlign w:val="bottom"/>
            <w:tcBorders>
              <w:bottom w:val="single" w:sz="8" w:color="CCEEFF"/>
            </w:tcBorders>
            <w:gridSpan w:val="16"/>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37</w:t>
            </w:r>
          </w:p>
        </w:tc>
      </w:tr>
      <w:tr>
        <w:trPr>
          <w:trHeight w:val="557"/>
        </w:trPr>
        <w:tc>
          <w:tcPr>
            <w:tcW w:w="2060" w:type="dxa"/>
            <w:vAlign w:val="bottom"/>
          </w:tcPr>
          <w:p>
            <w:pPr>
              <w:spacing w:after="0"/>
              <w:rPr>
                <w:sz w:val="24"/>
                <w:szCs w:val="24"/>
                <w:color w:val="auto"/>
              </w:rPr>
            </w:pPr>
          </w:p>
        </w:tc>
        <w:tc>
          <w:tcPr>
            <w:tcW w:w="3720" w:type="dxa"/>
            <w:vAlign w:val="bottom"/>
            <w:gridSpan w:val="13"/>
          </w:tcPr>
          <w:p>
            <w:pPr>
              <w:ind w:left="3520"/>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4"/>
        </w:trPr>
        <w:tc>
          <w:tcPr>
            <w:tcW w:w="2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89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280" w:type="dxa"/>
            <w:vAlign w:val="bottom"/>
          </w:tcPr>
          <w:p>
            <w:pPr>
              <w:spacing w:after="0"/>
              <w:rPr>
                <w:sz w:val="18"/>
                <w:szCs w:val="18"/>
                <w:color w:val="auto"/>
              </w:rPr>
            </w:pPr>
          </w:p>
        </w:tc>
        <w:tc>
          <w:tcPr>
            <w:tcW w:w="8960" w:type="dxa"/>
            <w:vAlign w:val="bottom"/>
          </w:tcPr>
          <w:p>
            <w:pPr>
              <w:spacing w:after="0"/>
              <w:rPr>
                <w:sz w:val="18"/>
                <w:szCs w:val="18"/>
                <w:color w:val="auto"/>
              </w:rPr>
            </w:pP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ASC</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ASP</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ASU</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CNY</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Chinese Yuan</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DNP</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FPD</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Flat Panel Display</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FY</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Year</w:t>
            </w:r>
          </w:p>
        </w:tc>
      </w:tr>
      <w:tr>
        <w:trPr>
          <w:trHeight w:val="198"/>
        </w:trPr>
        <w:tc>
          <w:tcPr>
            <w:tcW w:w="22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9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it refers to the size range of the underlying substrate to which a photomask is applied.</w:t>
            </w:r>
          </w:p>
        </w:tc>
      </w:tr>
      <w:tr>
        <w:trPr>
          <w:trHeight w:val="234"/>
        </w:trPr>
        <w:tc>
          <w:tcPr>
            <w:tcW w:w="228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Higher generation (or “G”) numbers represent larger substrates</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IC, photomasks that service IC nodes at 28nm or smaller; for FPD, AMOLED, G10.5+, and LTPS photomasks</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IC</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Integrated circuit</w:t>
            </w:r>
          </w:p>
        </w:tc>
      </w:tr>
      <w:tr>
        <w:trPr>
          <w:trHeight w:val="198"/>
        </w:trPr>
        <w:tc>
          <w:tcPr>
            <w:tcW w:w="22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96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Low-Temperature Poly Silicon, a polycrystalline silicon synthesized at relatively low temperatures; polycrystalline silicon</w:t>
            </w:r>
          </w:p>
        </w:tc>
      </w:tr>
      <w:tr>
        <w:trPr>
          <w:trHeight w:val="216"/>
        </w:trPr>
        <w:tc>
          <w:tcPr>
            <w:tcW w:w="2280" w:type="dxa"/>
            <w:vAlign w:val="bottom"/>
            <w:shd w:val="clear" w:color="auto" w:fill="CCEEFF"/>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thin-film transistors (TFTs) are used in liquid-crystal display (LCD) flat panels and to drive organic light-emitting</w:t>
            </w:r>
          </w:p>
        </w:tc>
      </w:tr>
      <w:tr>
        <w:trPr>
          <w:trHeight w:val="234"/>
        </w:trPr>
        <w:tc>
          <w:tcPr>
            <w:tcW w:w="2280" w:type="dxa"/>
            <w:vAlign w:val="bottom"/>
            <w:shd w:val="clear" w:color="auto" w:fill="CCEEFF"/>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diode (OLED) displays</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Mainstream (photomasks)</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IC, photomasks that service IC nodes greater than 28nm; for FPD, G8 and smaller photomasks</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SEC</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VIE</w:t>
            </w:r>
          </w:p>
        </w:tc>
        <w:tc>
          <w:tcPr>
            <w:tcW w:w="8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98"/>
        </w:trPr>
        <w:tc>
          <w:tcPr>
            <w:tcW w:w="22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9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 as</w:t>
            </w:r>
          </w:p>
        </w:tc>
      </w:tr>
      <w:tr>
        <w:trPr>
          <w:trHeight w:val="234"/>
        </w:trPr>
        <w:tc>
          <w:tcPr>
            <w:tcW w:w="2280" w:type="dxa"/>
            <w:vAlign w:val="bottom"/>
          </w:tcPr>
          <w:p>
            <w:pPr>
              <w:spacing w:after="0"/>
              <w:rPr>
                <w:sz w:val="20"/>
                <w:szCs w:val="20"/>
                <w:color w:val="auto"/>
              </w:rPr>
            </w:pPr>
          </w:p>
        </w:tc>
        <w:tc>
          <w:tcPr>
            <w:tcW w:w="8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substrate for microelectronic devices built in and upon the wafer</w:t>
            </w:r>
          </w:p>
        </w:tc>
      </w:tr>
      <w:tr>
        <w:trPr>
          <w:trHeight w:val="570"/>
        </w:trPr>
        <w:tc>
          <w:tcPr>
            <w:tcW w:w="2280" w:type="dxa"/>
            <w:vAlign w:val="bottom"/>
          </w:tcPr>
          <w:p>
            <w:pPr>
              <w:spacing w:after="0"/>
              <w:rPr>
                <w:sz w:val="24"/>
                <w:szCs w:val="24"/>
                <w:color w:val="auto"/>
              </w:rPr>
            </w:pPr>
          </w:p>
        </w:tc>
        <w:tc>
          <w:tcPr>
            <w:tcW w:w="896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firstLine="324"/>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 have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contained in Form 10-K for the year ended October 31, 2024, filed with the SEC on December 19, 2024, as well as any additional risk factors we may provide in Part II, Item 1A in this Quarterly Report on Form 10-Q.</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0" w:type="dxa"/>
            <w:vAlign w:val="bottom"/>
          </w:tcPr>
          <w:p>
            <w:pPr>
              <w:spacing w:after="0"/>
              <w:rPr>
                <w:sz w:val="24"/>
                <w:szCs w:val="24"/>
                <w:color w:val="auto"/>
              </w:rPr>
            </w:pPr>
          </w:p>
        </w:tc>
        <w:tc>
          <w:tcPr>
            <w:tcW w:w="7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p>
        </w:tc>
        <w:tc>
          <w:tcPr>
            <w:tcW w:w="7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74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7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598,485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96,277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$1,184 in 2025 and $1,126 in 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200,830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63,490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33,036</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872,236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931,062</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745,257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23,059</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12,681</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78,717</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74,563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87,122</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183,811</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39,824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47,464</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214,765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231,300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57,587 shares issued and outstanding as of August 3,</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2025, and 61,949 shares issued and outstanding as of October 31, 2024</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514,757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691,807</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(68,504)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1,125,551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1,120,864</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412,449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1,480,759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520" w:type="dxa"/>
            <w:vAlign w:val="bottom"/>
            <w:gridSpan w:val="6"/>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633,524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644,318</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135,846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409,228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410,674</w:t>
            </w: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70,855</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233,644</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18,423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56,753</w:t>
            </w: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11,291</w:t>
            </w:r>
          </w:p>
        </w:tc>
      </w:tr>
      <w:tr>
        <w:trPr>
          <w:trHeight w:val="27"/>
        </w:trPr>
        <w:tc>
          <w:tcPr>
            <w:tcW w:w="10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22,991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68,242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68,044</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165,690</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(14,258)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(26,925)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9,926</w:t>
            </w:r>
          </w:p>
        </w:tc>
      </w:tr>
      <w:tr>
        <w:trPr>
          <w:trHeight w:val="216"/>
        </w:trPr>
        <w:tc>
          <w:tcPr>
            <w:tcW w:w="4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16,745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17,263</w:t>
            </w:r>
          </w:p>
        </w:tc>
      </w:tr>
      <w:tr>
        <w:trPr>
          <w:trHeight w:val="223"/>
        </w:trPr>
        <w:tc>
          <w:tcPr>
            <w:tcW w:w="4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48,998</w:t>
            </w:r>
          </w:p>
        </w:tc>
      </w:tr>
      <w:tr>
        <w:trPr>
          <w:trHeight w:val="223"/>
        </w:trPr>
        <w:tc>
          <w:tcPr>
            <w:tcW w:w="1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111,613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37,009</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46,804</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22,891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96,819</w:t>
            </w:r>
          </w:p>
        </w:tc>
      </w:tr>
      <w:tr>
        <w:trPr>
          <w:trHeight w:val="209"/>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57,937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61,815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60,274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61,681</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58,068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60,567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62,369</w:t>
            </w:r>
          </w:p>
        </w:tc>
      </w:tr>
      <w:tr>
        <w:trPr>
          <w:trHeight w:val="27"/>
        </w:trPr>
        <w:tc>
          <w:tcPr>
            <w:tcW w:w="10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33,380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33,360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(13,716)</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42,103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129,907</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52,555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44,834</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41,682</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85,073</w:t>
            </w:r>
          </w:p>
        </w:tc>
      </w:tr>
      <w:tr>
        <w:trPr>
          <w:trHeight w:val="27"/>
        </w:trPr>
        <w:tc>
          <w:tcPr>
            <w:tcW w:w="5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4"/>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0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August 3, 2025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9"/>
                <w:szCs w:val="19"/>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4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4, 2025</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58,711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489,205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698,423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(87,295)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395,849</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22,891</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29,139</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18,791</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10,352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29,143</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3,294</w:t>
            </w:r>
          </w:p>
        </w:tc>
        <w:tc>
          <w:tcPr>
            <w:tcW w:w="1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3,294</w:t>
            </w:r>
          </w:p>
        </w:tc>
        <w:tc>
          <w:tcPr>
            <w:tcW w:w="0" w:type="dxa"/>
            <w:vAlign w:val="bottom"/>
          </w:tcPr>
          <w:p>
            <w:pPr>
              <w:spacing w:after="0"/>
              <w:rPr>
                <w:sz w:val="1"/>
                <w:szCs w:val="1"/>
                <w:color w:val="auto"/>
              </w:rPr>
            </w:pPr>
          </w:p>
        </w:tc>
      </w:tr>
      <w:tr>
        <w:trPr>
          <w:trHeight w:val="198"/>
        </w:trPr>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through</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program</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(9,812)</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(10,916)</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(20,740)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August 3, 2025</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57,587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483,081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710,398</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(68,504)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412,449</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July 28, 2024</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9"/>
                <w:szCs w:val="19"/>
                <w:color w:val="auto"/>
              </w:rPr>
            </w:pPr>
          </w:p>
        </w:tc>
        <w:tc>
          <w:tcPr>
            <w:tcW w:w="11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40" w:type="dxa"/>
            <w:vAlign w:val="bottom"/>
            <w:tcBorders>
              <w:bottom w:val="single" w:sz="8" w:color="auto"/>
            </w:tcBorders>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9"/>
                <w:szCs w:val="19"/>
                <w:color w:val="auto"/>
              </w:rPr>
            </w:pPr>
          </w:p>
        </w:tc>
        <w:tc>
          <w:tcPr>
            <w:tcW w:w="112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19"/>
                <w:szCs w:val="19"/>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28, 2024</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61,799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506,621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623,550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(95,932)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333,172</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13,781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48,169</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(4,548)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July 28, 2024</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509,918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657,938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(100,480)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345,435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1,413,429</w:t>
            </w:r>
          </w:p>
        </w:tc>
        <w:tc>
          <w:tcPr>
            <w:tcW w:w="0" w:type="dxa"/>
            <w:vAlign w:val="bottom"/>
          </w:tcPr>
          <w:p>
            <w:pPr>
              <w:spacing w:after="0"/>
              <w:rPr>
                <w:sz w:val="1"/>
                <w:szCs w:val="1"/>
                <w:color w:val="auto"/>
              </w:rPr>
            </w:pPr>
          </w:p>
        </w:tc>
      </w:tr>
      <w:tr>
        <w:trPr>
          <w:trHeight w:val="571"/>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Nine Months Ended August 3, 2025</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jc w:val="center"/>
              <w:ind w:lef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8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514,757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691,807</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(86,319)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359,895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74,604</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37,009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111,613</w:t>
            </w: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17,815</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15,545</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33,360</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10,003</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198"/>
        </w:trPr>
        <w:tc>
          <w:tcPr>
            <w:tcW w:w="27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 common</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through repurchase program</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(41,360)</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(56,013)</w:t>
            </w:r>
          </w:p>
        </w:tc>
        <w:tc>
          <w:tcPr>
            <w:tcW w:w="3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(97,422)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August 3, 2025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483,081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710,398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412,449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 July 28, 2024</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8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300" w:type="dxa"/>
            <w:vAlign w:val="bottom"/>
          </w:tcPr>
          <w:p>
            <w:pPr>
              <w:spacing w:after="0"/>
              <w:rPr>
                <w:sz w:val="19"/>
                <w:szCs w:val="19"/>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61,310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502,010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561,119</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(88,734)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300,601</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96,819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46,804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(11,746)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16"/>
        </w:trPr>
        <w:tc>
          <w:tcPr>
            <w:tcW w:w="2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9,841</w:t>
            </w:r>
          </w:p>
        </w:tc>
        <w:tc>
          <w:tcPr>
            <w:tcW w:w="1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July 28, 2024</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61,839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509,918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657,938</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(100,480)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345,435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40" w:type="dxa"/>
            <w:vAlign w:val="bottom"/>
          </w:tcPr>
          <w:p>
            <w:pPr>
              <w:spacing w:after="0"/>
              <w:rPr>
                <w:sz w:val="20"/>
                <w:szCs w:val="20"/>
                <w:color w:val="auto"/>
              </w:rPr>
            </w:pPr>
          </w:p>
        </w:tc>
        <w:tc>
          <w:tcPr>
            <w:tcW w:w="242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143,623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61,613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159,974</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(120,588)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(87,733)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(96,571)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(100,558)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44,696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incentives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(173,599)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(142,058)</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(17,969)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(97,422)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(115,284)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(6,428)</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10,129</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(118,780)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601,243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501,867</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482,463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479,521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Accruals for property, plant and equipment purchased not yet paid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9,163</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The Company operates eleven manufacturing facilities, which are located in Taiwan (3), South Korea (1), China (2),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amounts reported in them. The Company’s estimates are based on historical experience and on various assumptions that the Company believes to be reasonable under the facts and circumstances at the time they are made. Actual results may differ from such estimates. The Company reviews these estimates periodically and reflects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reporting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the Company’s Form 10-K for the fiscal year ended October 31, 2024, which provides additional information about the Company’s accounting policies and the methods and assumptions used in the Company’s estimates.</w:t>
      </w:r>
    </w:p>
    <w:p>
      <w:pPr>
        <w:spacing w:after="0" w:line="19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is typically impacted during the first quarter of the Company’s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ASU will be effective for Photronics in its fiscal year 2028 Form 10-K, with early application of the amendments allowed. The Company is currently evaluating the impact the adoption of this ASU may have on the Company’s consolidated financial statements and related disclosures.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ASU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ASU will be effective for Photronics in its fiscal year 2026 Form 10-K, with early application of the amendments allowed. The Company is currently evaluating the effect of this ASU adoption on its disclosures.</w:t>
      </w:r>
    </w:p>
    <w:p>
      <w:pPr>
        <w:spacing w:after="0" w:line="18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ASU is effective for Photronics in its fiscal year 2025 Form 10-K. The Company is currently evaluating the effect the adoption of this ASU may have on the Company’s disclosures.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ACCOUNTS RECEIVABLE,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at the balance sheet dates are presented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(1,126)</w:t>
            </w:r>
          </w:p>
        </w:tc>
      </w:tr>
      <w:tr>
        <w:trPr>
          <w:trHeight w:val="223"/>
        </w:trPr>
        <w:tc>
          <w:tcPr>
            <w:tcW w:w="86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190,875</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200,830</w:t>
            </w:r>
          </w:p>
        </w:tc>
        <w:tc>
          <w:tcPr>
            <w:tcW w:w="100" w:type="dxa"/>
            <w:vAlign w:val="bottom"/>
            <w:tcBorders>
              <w:top w:val="single" w:sz="8" w:color="CCEEFF"/>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invests excess cash in bank time deposits and various marketable securities. The Company’s classification of investments is as follows:</w:t>
      </w:r>
    </w:p>
    <w:p>
      <w:pPr>
        <w:sectPr>
          <w:pgSz w:w="11900" w:h="16838" w:orient="portrait"/>
          <w:cols w:equalWidth="0" w:num="1">
            <w:col w:w="11240"/>
          </w:cols>
          <w:pgMar w:left="320" w:top="116" w:right="339" w:bottom="1440" w:gutter="0" w:footer="0" w:header="0"/>
        </w:sectPr>
      </w:pPr>
    </w:p>
    <w:p>
      <w:pPr>
        <w:spacing w:after="0" w:line="225" w:lineRule="exact"/>
        <w:rPr>
          <w:sz w:val="20"/>
          <w:szCs w:val="20"/>
          <w:color w:val="auto"/>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within three months or less from the date of purchase</w:t>
      </w:r>
    </w:p>
    <w:p>
      <w:pPr>
        <w:spacing w:after="0" w:line="27" w:lineRule="exact"/>
        <w:rPr>
          <w:rFonts w:ascii="Times New Roman" w:cs="Times New Roman" w:eastAsia="Times New Roman" w:hAnsi="Times New Roman"/>
          <w:sz w:val="18"/>
          <w:szCs w:val="18"/>
          <w:color w:val="auto"/>
        </w:rPr>
      </w:pPr>
    </w:p>
    <w:p>
      <w:pPr>
        <w:ind w:left="680" w:hanging="335"/>
        <w:spacing w:after="0" w:line="180" w:lineRule="auto"/>
        <w:tabs>
          <w:tab w:leader="none" w:pos="680" w:val="left"/>
        </w:tabs>
        <w:numPr>
          <w:ilvl w:val="0"/>
          <w:numId w:val="3"/>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color w:val="auto"/>
        </w:rPr>
        <w:t>Maturing, as of the date of purchase, more than three months, but</w:t>
      </w:r>
    </w:p>
    <w:p>
      <w:pPr>
        <w:spacing w:after="0" w:line="2" w:lineRule="exact"/>
        <w:rPr>
          <w:rFonts w:ascii="Times New Roman" w:cs="Times New Roman" w:eastAsia="Times New Roman" w:hAnsi="Times New Roman"/>
          <w:sz w:val="25"/>
          <w:szCs w:val="25"/>
          <w:color w:val="auto"/>
          <w:vertAlign w:val="subscript"/>
        </w:rPr>
      </w:pPr>
    </w:p>
    <w:p>
      <w:pPr>
        <w:ind w:left="680"/>
        <w:spacing w:after="0"/>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7"/>
          <w:szCs w:val="17"/>
          <w:color w:val="auto"/>
        </w:rPr>
        <w:t>with remaining maturities of less than one year, from the balance sheet date</w:t>
      </w:r>
    </w:p>
    <w:p>
      <w:pPr>
        <w:spacing w:after="0" w:line="18" w:lineRule="exact"/>
        <w:rPr>
          <w:rFonts w:ascii="Times New Roman" w:cs="Times New Roman" w:eastAsia="Times New Roman" w:hAnsi="Times New Roman"/>
          <w:sz w:val="25"/>
          <w:szCs w:val="25"/>
          <w:color w:val="auto"/>
          <w:vertAlign w:val="subscript"/>
        </w:rPr>
      </w:pPr>
    </w:p>
    <w:p>
      <w:pPr>
        <w:ind w:left="680" w:hanging="335"/>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one year or more from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Long-term marketable investments</w:t>
      </w:r>
    </w:p>
    <w:p>
      <w:pPr>
        <w:spacing w:after="0" w:line="229" w:lineRule="exact"/>
        <w:rPr>
          <w:sz w:val="20"/>
          <w:szCs w:val="20"/>
          <w:color w:val="auto"/>
        </w:rPr>
      </w:pPr>
    </w:p>
    <w:p>
      <w:pPr>
        <w:sectPr>
          <w:pgSz w:w="11900" w:h="16838" w:orient="portrait"/>
          <w:cols w:equalWidth="0" w:num="2">
            <w:col w:w="8000" w:space="720"/>
            <w:col w:w="2520"/>
          </w:cols>
          <w:pgMar w:left="320" w:top="116" w:right="339" w:bottom="1440" w:gutter="0" w:footer="0" w:header="0"/>
          <w:type w:val="continuous"/>
        </w:sectPr>
      </w:pPr>
    </w:p>
    <w:p>
      <w:pPr>
        <w:spacing w:after="0" w:line="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right="20" w:firstLine="13"/>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are cash, cash equivalents and investments measured at fair value: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August 3, 2025</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2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Total Fair</w:t>
            </w:r>
          </w:p>
        </w:tc>
        <w:tc>
          <w:tcPr>
            <w:tcW w:w="22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100" w:type="dxa"/>
            <w:vAlign w:val="bottom"/>
          </w:tcPr>
          <w:p>
            <w:pPr>
              <w:spacing w:after="0"/>
              <w:rPr>
                <w:sz w:val="16"/>
                <w:szCs w:val="16"/>
                <w:color w:val="auto"/>
              </w:rPr>
            </w:pPr>
          </w:p>
        </w:tc>
      </w:tr>
      <w:tr>
        <w:trPr>
          <w:trHeight w:val="238"/>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171,146</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414,074</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280" w:type="dxa"/>
            <w:vAlign w:val="bottom"/>
            <w:gridSpan w:val="2"/>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U.S. Government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Securities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24,986</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30,489</w:t>
            </w:r>
          </w:p>
        </w:tc>
        <w:tc>
          <w:tcPr>
            <w:tcW w:w="10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Money market funds</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14,782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36,322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paper</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45,711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Time 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68,673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313,670</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190,273</w:t>
            </w: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479,521</w:t>
            </w:r>
          </w:p>
        </w:tc>
        <w:tc>
          <w:tcPr>
            <w:tcW w:w="1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96,277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575,798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640,669</w:t>
            </w: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Restricted Cash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Restricted cash is included in other assets and primarily relates to customs requirements and land lease agreements.</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net</w:t>
      </w:r>
      <w:r>
        <w:rPr>
          <w:rFonts w:ascii="Times New Roman" w:cs="Times New Roman" w:eastAsia="Times New Roman" w:hAnsi="Times New Roman"/>
          <w:sz w:val="18"/>
          <w:szCs w:val="18"/>
          <w:color w:val="auto"/>
        </w:rPr>
        <w:t>, where the Company also reports periodic interest earned and the amortization (accretion) of discounts (premiums) related to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periods ended August 3, 2025, and October 31, 2024, the unrealized gains or losses related to short-term investments were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August 3,</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3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360" w:type="dxa"/>
            <w:vAlign w:val="bottom"/>
          </w:tcPr>
          <w:p>
            <w:pPr>
              <w:spacing w:after="0"/>
              <w:rPr>
                <w:sz w:val="19"/>
                <w:szCs w:val="19"/>
                <w:color w:val="auto"/>
              </w:rPr>
            </w:pPr>
          </w:p>
        </w:tc>
        <w:tc>
          <w:tcPr>
            <w:tcW w:w="5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r>
      <w:tr>
        <w:trPr>
          <w:trHeight w:val="570"/>
        </w:trPr>
        <w:tc>
          <w:tcPr>
            <w:tcW w:w="3360" w:type="dxa"/>
            <w:vAlign w:val="bottom"/>
          </w:tcPr>
          <w:p>
            <w:pPr>
              <w:spacing w:after="0"/>
              <w:rPr>
                <w:sz w:val="24"/>
                <w:szCs w:val="24"/>
                <w:color w:val="auto"/>
              </w:rPr>
            </w:pPr>
          </w:p>
        </w:tc>
        <w:tc>
          <w:tcPr>
            <w:tcW w:w="5320" w:type="dxa"/>
            <w:vAlign w:val="bottom"/>
          </w:tcPr>
          <w:p>
            <w:pPr>
              <w:jc w:val="right"/>
              <w:ind w:right="2899"/>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188,756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1,990,610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91,213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2,496,936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2,319,357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(1,657,948)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(1,574,100)</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838,988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640"/>
        <w:spacing w:after="0" w:line="312" w:lineRule="auto"/>
        <w:rPr>
          <w:sz w:val="20"/>
          <w:szCs w:val="20"/>
          <w:color w:val="auto"/>
        </w:rPr>
      </w:pPr>
      <w:r>
        <w:rPr>
          <w:rFonts w:ascii="Times New Roman" w:cs="Times New Roman" w:eastAsia="Times New Roman" w:hAnsi="Times New Roman"/>
          <w:sz w:val="17"/>
          <w:szCs w:val="17"/>
          <w:color w:val="auto"/>
        </w:rPr>
        <w:t>Information on ROU assets resulting from finance leases, at the balance sheet dates, is presented below. During the first half of 2025, the Company exercised its early buy-out option for a high-end lithography tool and a high-end inspection tool. Please refer to Note 7 for further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(10,522)</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60" w:firstLine="29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61,332</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the joint venture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net income the Company recorded from the operations of PDMCX during the reporting periods.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“Consolidation”,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which could potentially be significant to PDMCX.</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87,047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83,515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151,039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75,535</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336,073</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168,070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26,852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306,814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3540" w:type="dxa"/>
            <w:vAlign w:val="bottom"/>
          </w:tcPr>
          <w:p>
            <w:pPr>
              <w:spacing w:after="0"/>
              <w:rPr>
                <w:sz w:val="24"/>
                <w:szCs w:val="24"/>
                <w:color w:val="auto"/>
              </w:rPr>
            </w:pP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long-term debt and its current portion was comprised of the following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8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8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Varies as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Varies as</w:t>
            </w:r>
          </w:p>
        </w:tc>
        <w:tc>
          <w:tcPr>
            <w:tcW w:w="0" w:type="dxa"/>
            <w:vAlign w:val="bottom"/>
          </w:tcPr>
          <w:p>
            <w:pPr>
              <w:spacing w:after="0"/>
              <w:rPr>
                <w:sz w:val="1"/>
                <w:szCs w:val="1"/>
                <w:color w:val="auto"/>
              </w:rPr>
            </w:pPr>
          </w:p>
        </w:tc>
      </w:tr>
      <w:tr>
        <w:trPr>
          <w:trHeight w:val="126"/>
        </w:trPr>
        <w:tc>
          <w:tcPr>
            <w:tcW w:w="8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Lease matures</w:t>
            </w:r>
          </w:p>
        </w:tc>
        <w:tc>
          <w:tcPr>
            <w:tcW w:w="20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Lease matures</w:t>
            </w:r>
          </w:p>
        </w:tc>
        <w:tc>
          <w:tcPr>
            <w:tcW w:w="0" w:type="dxa"/>
            <w:vAlign w:val="bottom"/>
          </w:tcPr>
          <w:p>
            <w:pPr>
              <w:spacing w:after="0"/>
              <w:rPr>
                <w:sz w:val="1"/>
                <w:szCs w:val="1"/>
                <w:color w:val="auto"/>
              </w:rPr>
            </w:pPr>
          </w:p>
        </w:tc>
      </w:tr>
      <w:tr>
        <w:trPr>
          <w:trHeight w:val="108"/>
        </w:trPr>
        <w:tc>
          <w:tcPr>
            <w:tcW w:w="8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Monthly</w:t>
            </w:r>
          </w:p>
        </w:tc>
        <w:tc>
          <w:tcPr>
            <w:tcW w:w="2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Monthly</w:t>
            </w:r>
          </w:p>
        </w:tc>
        <w:tc>
          <w:tcPr>
            <w:tcW w:w="0" w:type="dxa"/>
            <w:vAlign w:val="bottom"/>
          </w:tcPr>
          <w:p>
            <w:pPr>
              <w:spacing w:after="0"/>
              <w:rPr>
                <w:sz w:val="1"/>
                <w:szCs w:val="1"/>
                <w:color w:val="auto"/>
              </w:rPr>
            </w:pPr>
          </w:p>
        </w:tc>
      </w:tr>
      <w:tr>
        <w:trPr>
          <w:trHeight w:val="223"/>
        </w:trPr>
        <w:tc>
          <w:tcPr>
            <w:tcW w:w="852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Loan collateral (carrying amount) </w:t>
            </w:r>
            <w:r>
              <w:rPr>
                <w:rFonts w:ascii="Times New Roman" w:cs="Times New Roman" w:eastAsia="Times New Roman" w:hAnsi="Times New Roman"/>
                <w:sz w:val="25"/>
                <w:szCs w:val="25"/>
                <w:color w:val="auto"/>
                <w:vertAlign w:val="superscript"/>
              </w:rPr>
              <w:t>(1)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40" w:hanging="208"/>
        <w:spacing w:after="0"/>
        <w:tabs>
          <w:tab w:leader="none" w:pos="5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February 2021, the Company entered into a five-year $7.2 million finance lease for a high-end inspection tool. Monthly payments on the lease, which commenced in February 2021, were $0.1 million per month. The lease agreement provided an early buyout option to purchase the tool for $2.4 million upon the fiftieth monthly payment and prior to the fifty-first monthly payment, which the Company exercised during the second quarter of fiscal year 2025.</w:t>
      </w:r>
    </w:p>
    <w:p>
      <w:pPr>
        <w:spacing w:after="0" w:line="180"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The lease agreement provided an early buyout option to purchase the tool for $14.1 million, which the Company exercised during the first quarter of fiscal year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CNY 200 million ($25 million), pursuant to which PDMCX may enter into separate loan agreements with varying terms to maturity. In December 2022, the Company repaid the Company’s entire outstanding balance of CNY 25.6 million ($3.6 million). The interest rates are variable, based on the CNY Loan Prime Rate of the National Interbank Funding Center. Interest incurred on the loans related to the amount borrowed was eligible for reimbursement through incentives provided by the Xiamen Torch Hi-Tech Industrial Development Zone, which provided such reimbursements up to a prescribed limit and duration. This facility is subject to annual reviews and extensions. In July 2025, the Company was issued an extension to the revolving, unsecured credit agreement for CNY 200 million or USD 25 million with an expiration date of July 31, 2026. As of August 3, 2025, PDMCX had no outstanding borrowings against the approval.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the Company’s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the Company with the right to payment for work completed to date, the Company recognizes revenue as the Company performs, or “over time,” on most of the Company’s contracts. The Company measures the Company’s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the Company’s costs incurred plus a reasonable profit, the Company recognizes revenue and a corresponding contract asset for such performance. The Company accounts for shipping and handling activities that the Company performs after a customer obtains control of a good as being activities to fulfill the Company’s promise to transfer the good to the customer, rather than as promised services, or performance obligations, under the contract. The Company reports the Company’s revenue net of any sales or similar taxes the Company collects on behalf of governmental entities.</w:t>
      </w:r>
    </w:p>
    <w:p>
      <w:pPr>
        <w:spacing w:after="0" w:line="19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120" w:firstLine="294"/>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its performance under a contract precedes the Company’s receipt of consideration from a customer, or before payment is due, and the right to receive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which generally occurs upon the shipment of the photomasks. The Company’s contract assets primarily consist of in-process production orders and fully manufactured photomasks which have not yet shipped, for which the Company has an enforceable right to consideration (including a reasonable profit) in the event the in-process orders are cancelled by customers. On an individual contract basis, the Company nets contract assets with contract liabilities (deferred revenue) for financial reporting purposes. The Company did not identify impairment indicators for any outstanding contract assets during the three-month or nine-month periods ended August 3, 2025, or July 28, 2024.</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11,532</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right="420" w:firstLine="297"/>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1,873</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generally records accounts receivable at their billed amounts. All outstanding past due customer invoices are reviewed for collectability during, and at the end of, every reporting period. To the extent the Company believes a loss on the collection of a customer invoice is probable, the Company would record the loss and credit an allowance for credit losses. In the event that an amount is determined to be uncollectible, the Company charges the allowance for credit losses and derecognizes the related receivable. The Company did not incur any credit losses on the Company’s accounts receivable during the three-month or nine-month periods ended August 3, 2025, or July 28, 2024.</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recognizes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840" w:firstLine="36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three-month and nine-month periods ended August 3, 2025, and July 28, 2024,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75"/>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53,648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173,053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168,417</w:t>
            </w:r>
          </w:p>
        </w:tc>
      </w:tr>
      <w:tr>
        <w:trPr>
          <w:trHeight w:val="223"/>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94,176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106,385</w:t>
            </w:r>
          </w:p>
        </w:tc>
        <w:tc>
          <w:tcPr>
            <w:tcW w:w="140" w:type="dxa"/>
            <w:vAlign w:val="bottom"/>
          </w:tcPr>
          <w:p>
            <w:pPr>
              <w:spacing w:after="0"/>
              <w:rPr>
                <w:sz w:val="19"/>
                <w:szCs w:val="19"/>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284,605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305,984</w:t>
            </w: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147,824</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155,884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457,658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474,401</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53,486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146,778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146,987</w:t>
            </w:r>
          </w:p>
        </w:tc>
      </w:tr>
      <w:tr>
        <w:trPr>
          <w:trHeight w:val="223"/>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29,088</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22,930</w:t>
            </w: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62,570</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175,866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169,917</w:t>
            </w:r>
          </w:p>
        </w:tc>
        <w:tc>
          <w:tcPr>
            <w:tcW w:w="10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633,524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68,429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216,524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50,618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55,301</w:t>
            </w:r>
          </w:p>
        </w:tc>
        <w:tc>
          <w:tcPr>
            <w:tcW w:w="14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162,919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172,131</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121,547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118,033</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37,754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38,833</w:t>
            </w:r>
          </w:p>
        </w:tc>
        <w:tc>
          <w:tcPr>
            <w:tcW w:w="14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105,379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104,880</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25,143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29,390</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633,524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2"/>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28,</w:t>
            </w:r>
          </w:p>
        </w:tc>
        <w:tc>
          <w:tcPr>
            <w:tcW w:w="100" w:type="dxa"/>
            <w:vAlign w:val="bottom"/>
          </w:tcPr>
          <w:p>
            <w:pPr>
              <w:spacing w:after="0"/>
              <w:rPr>
                <w:sz w:val="16"/>
                <w:szCs w:val="16"/>
                <w:color w:val="auto"/>
              </w:rPr>
            </w:pPr>
          </w:p>
        </w:tc>
      </w:tr>
      <w:tr>
        <w:trPr>
          <w:trHeight w:val="245"/>
        </w:trPr>
        <w:tc>
          <w:tcPr>
            <w:tcW w:w="59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607,249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616,893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26,275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27,425</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210,394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633,524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644,318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they procure on the Company’s behalf. However, the basis of the commissions are the transaction prices of the sales, which are completed in less than one year; thus, no relationship is established with a customer that will result in future business. Therefore, the Company does not recognize any portion of these sales commissions as costs of obtaining a contract, nor does the Company currently foresee other circumstances under which the Company would recognize contract obtainment costs as assets.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However, the demand for some IC photomasks can extend beyond the traditional time period; thus, the backlog, in some individual cases, can extend to as long as two to three months. More recently however, backlogs for most high demand products have returned to historical levels of less than a month. As allowed under ASC 606 </w:t>
      </w:r>
      <w:r>
        <w:rPr>
          <w:rFonts w:ascii="Times New Roman" w:cs="Times New Roman" w:eastAsia="Times New Roman" w:hAnsi="Times New Roman"/>
          <w:sz w:val="18"/>
          <w:szCs w:val="18"/>
          <w:i w:val="1"/>
          <w:iCs w:val="1"/>
          <w:color w:val="auto"/>
        </w:rPr>
        <w:t>– Revenue Contracts with Customers</w:t>
      </w:r>
      <w:r>
        <w:rPr>
          <w:rFonts w:ascii="Times New Roman" w:cs="Times New Roman" w:eastAsia="Times New Roman" w:hAnsi="Times New Roman"/>
          <w:sz w:val="18"/>
          <w:szCs w:val="18"/>
          <w:color w:val="auto"/>
        </w:rPr>
        <w:t>,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The maximum number of shares of common stock that may be issued under the 2025 Plan is five million shares. At the time of approval of the 2025 Plan, the Company’s 2016 Equity Incentive Compensation Plan (which was largely replicated by the 2025 Plan) was due to expire in early 2026 and had a limited quantity of shares remaining available for issuance. Awards may be granted to officers, employees, directors, consultants, advisors, and independent contractors of Photronics or its subsidiaries. In the event of a change in control (as defined in the 2025 Plan), the vesting of awards may be accelerated. The 2025 Plan prohibits further awards from being issued under prior plans. The table below presents information on the Company’s share-based compensation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4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7,126</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r>
      <w:tr>
        <w:trPr>
          <w:trHeight w:val="27"/>
        </w:trPr>
        <w:tc>
          <w:tcPr>
            <w:tcW w:w="4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9,841</w:t>
            </w:r>
          </w:p>
        </w:tc>
      </w:tr>
      <w:tr>
        <w:trPr>
          <w:trHeight w:val="216"/>
        </w:trPr>
        <w:tc>
          <w:tcPr>
            <w:tcW w:w="4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9,841</w:t>
            </w:r>
          </w:p>
        </w:tc>
      </w:tr>
      <w:tr>
        <w:trPr>
          <w:trHeight w:val="216"/>
        </w:trPr>
        <w:tc>
          <w:tcPr>
            <w:tcW w:w="4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on share-based compensation</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552"/>
        </w:trPr>
        <w:tc>
          <w:tcPr>
            <w:tcW w:w="4580" w:type="dxa"/>
            <w:vAlign w:val="bottom"/>
          </w:tcPr>
          <w:p>
            <w:pPr>
              <w:spacing w:after="0"/>
              <w:rPr>
                <w:sz w:val="24"/>
                <w:szCs w:val="24"/>
                <w:color w:val="auto"/>
              </w:rPr>
            </w:pP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right="80" w:firstLine="324"/>
        <w:spacing w:after="0" w:line="257" w:lineRule="auto"/>
        <w:rPr>
          <w:sz w:val="20"/>
          <w:szCs w:val="20"/>
          <w:color w:val="auto"/>
        </w:rPr>
      </w:pPr>
      <w:r>
        <w:rPr>
          <w:rFonts w:ascii="Times New Roman" w:cs="Times New Roman" w:eastAsia="Times New Roman" w:hAnsi="Times New Roman"/>
          <w:sz w:val="18"/>
          <w:szCs w:val="18"/>
          <w:color w:val="auto"/>
        </w:rPr>
        <w:t>The Company has historically granted restricted stock awards on a periodic basis, the restrictions on which typically lapse over a service period of one to four years. The fair value of the awards is determined on the date of grant, based on the closing price of the Company’s common stock. The table below presents information on the Company’s restricted stock awards.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9"/>
                <w:szCs w:val="19"/>
                <w:color w:val="auto"/>
              </w:rPr>
            </w:pPr>
          </w:p>
        </w:tc>
        <w:tc>
          <w:tcPr>
            <w:tcW w:w="24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583,238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24,414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24,414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1,421,897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1,513,827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1,421,897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1,513,827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Commencing Q2 FY25, the Company began granting restricted stock units, the restrictions on which typically lapse over a service period of one to four years. The fair value of the awards is determined on the date of grant, based on the closing price of the Company’s common stock. The table below presents information on the Company’s restricted stock unit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8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units granted in period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109,830</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162,666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18.21</w:t>
            </w:r>
          </w:p>
        </w:tc>
        <w:tc>
          <w:tcPr>
            <w:tcW w:w="10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2,387</w:t>
            </w:r>
          </w:p>
        </w:tc>
        <w:tc>
          <w:tcPr>
            <w:tcW w:w="10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 at balance sheet date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132,474</w:t>
            </w:r>
          </w:p>
        </w:tc>
        <w:tc>
          <w:tcPr>
            <w:tcW w:w="10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132,474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the Company’s stock options.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5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400</w:t>
            </w:r>
          </w:p>
        </w:tc>
        <w:tc>
          <w:tcPr>
            <w:tcW w:w="1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52"/>
        </w:trPr>
        <w:tc>
          <w:tcPr>
            <w:tcW w:w="5500" w:type="dxa"/>
            <w:vAlign w:val="bottom"/>
          </w:tcPr>
          <w:p>
            <w:pPr>
              <w:spacing w:after="0"/>
              <w:rPr>
                <w:sz w:val="24"/>
                <w:szCs w:val="24"/>
                <w:color w:val="auto"/>
              </w:rPr>
            </w:pPr>
          </w:p>
        </w:tc>
        <w:tc>
          <w:tcPr>
            <w:tcW w:w="4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outstanding and exercisable option awards as of August 3, 2025, is presented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August 3, 2025</w:t>
            </w:r>
          </w:p>
        </w:tc>
        <w:tc>
          <w:tcPr>
            <w:tcW w:w="2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115,075</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8"/>
                <w:szCs w:val="18"/>
                <w:color w:val="auto"/>
              </w:rPr>
            </w:pPr>
          </w:p>
        </w:tc>
      </w:tr>
      <w:tr>
        <w:trPr>
          <w:trHeight w:val="432"/>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 The table below sets forth the primary reasons that the Company’s effective income tax rates differed from the U.S. statutory tax rates in effect during the periods ended August 3, 2025, and July 28,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Photronics</w:t>
            </w:r>
          </w:p>
        </w:tc>
        <w:tc>
          <w:tcPr>
            <w:tcW w:w="10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 Statutory</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w:t>
            </w:r>
          </w:p>
        </w:tc>
        <w:tc>
          <w:tcPr>
            <w:tcW w:w="10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Period</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Tax Rates</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Rates</w:t>
            </w: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Primary Reasons for Differences</w:t>
            </w:r>
          </w:p>
        </w:tc>
      </w:tr>
      <w:tr>
        <w:trPr>
          <w:trHeight w:val="216"/>
        </w:trPr>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w:t>
            </w:r>
          </w:p>
        </w:tc>
        <w:tc>
          <w:tcPr>
            <w:tcW w:w="1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24.8%</w:t>
            </w:r>
          </w:p>
        </w:tc>
        <w:tc>
          <w:tcPr>
            <w:tcW w:w="6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 jurisdictions, have been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allowances, non-U.S. pre-tax income being taxed at higher statutory</w:t>
            </w:r>
          </w:p>
        </w:tc>
      </w:tr>
      <w:tr>
        <w:trPr>
          <w:trHeight w:val="216"/>
        </w:trPr>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rates in the non-U.S. jurisdictions, and changes in uncertain tax positions in non-U.S.</w:t>
            </w:r>
          </w:p>
        </w:tc>
      </w:tr>
      <w:tr>
        <w:trPr>
          <w:trHeight w:val="234"/>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jurisdictions.</w:t>
            </w:r>
          </w:p>
        </w:tc>
      </w:t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July</w:t>
            </w:r>
          </w:p>
        </w:tc>
        <w:tc>
          <w:tcPr>
            <w:tcW w:w="1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22.7%</w:t>
            </w:r>
          </w:p>
        </w:tc>
        <w:tc>
          <w:tcPr>
            <w:tcW w:w="6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 jurisdictions, have been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28, 2024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allowances, non-U.S. pre-tax income being taxed at higher statutory</w:t>
            </w:r>
          </w:p>
        </w:tc>
      </w:tr>
      <w:tr>
        <w:trPr>
          <w:trHeight w:val="216"/>
        </w:trPr>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rates in the non-U.S. jurisdictions and the establishment of uncertain tax positions in</w:t>
            </w:r>
          </w:p>
        </w:tc>
      </w:tr>
      <w:tr>
        <w:trPr>
          <w:trHeight w:val="234"/>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jurisdictions.</w:t>
            </w:r>
          </w:p>
        </w:tc>
      </w:t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1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23.5%</w:t>
            </w:r>
          </w:p>
        </w:tc>
        <w:tc>
          <w:tcPr>
            <w:tcW w:w="6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 jurisdictions, have been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allowances, non-U.S. pre-tax income being taxed at higher statutory</w:t>
            </w:r>
          </w:p>
        </w:tc>
      </w:tr>
      <w:tr>
        <w:trPr>
          <w:trHeight w:val="216"/>
        </w:trPr>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rates in the non-U.S. jurisdictions, and changes in uncertain tax positions in non-U.S.</w:t>
            </w:r>
          </w:p>
        </w:tc>
      </w:tr>
      <w:tr>
        <w:trPr>
          <w:trHeight w:val="234"/>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jurisdictions.</w:t>
            </w:r>
          </w:p>
        </w:tc>
      </w:tr>
      <w:tr>
        <w:trPr>
          <w:trHeight w:val="216"/>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tcPr>
          <w:p>
            <w:pPr>
              <w:spacing w:after="0"/>
              <w:rPr>
                <w:sz w:val="18"/>
                <w:szCs w:val="18"/>
                <w:color w:val="auto"/>
              </w:rPr>
            </w:pP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Nine Months Ended July</w:t>
            </w:r>
          </w:p>
        </w:tc>
        <w:tc>
          <w:tcPr>
            <w:tcW w:w="1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25.4%</w:t>
            </w:r>
          </w:p>
        </w:tc>
        <w:tc>
          <w:tcPr>
            <w:tcW w:w="6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 jurisdictions, have been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28, 2024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allowances, non-U.S. pre-tax income being taxed at higher statutory</w:t>
            </w:r>
          </w:p>
        </w:tc>
      </w:tr>
      <w:tr>
        <w:trPr>
          <w:trHeight w:val="216"/>
        </w:trPr>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rates in the non-U.S. jurisdictions, and the establishment of uncertain tax positions in</w:t>
            </w:r>
          </w:p>
        </w:tc>
      </w:tr>
      <w:tr>
        <w:trPr>
          <w:trHeight w:val="234"/>
        </w:trPr>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jurisdictions.</w:t>
            </w:r>
          </w:p>
        </w:tc>
      </w:tr>
      <w:tr>
        <w:trPr>
          <w:trHeight w:val="570"/>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40" w:type="dxa"/>
            <w:vAlign w:val="bottom"/>
            <w:gridSpan w:val="2"/>
          </w:tcPr>
          <w:p>
            <w:pPr>
              <w:jc w:val="right"/>
              <w:ind w:right="5540"/>
              <w:spacing w:after="0"/>
              <w:rPr>
                <w:sz w:val="20"/>
                <w:szCs w:val="20"/>
                <w:color w:val="auto"/>
              </w:rPr>
            </w:pPr>
            <w:r>
              <w:rPr>
                <w:rFonts w:ascii="Times New Roman" w:cs="Times New Roman" w:eastAsia="Times New Roman" w:hAnsi="Times New Roman"/>
                <w:sz w:val="14"/>
                <w:szCs w:val="14"/>
                <w:color w:val="auto"/>
              </w:rPr>
              <w:t>22</w:t>
            </w:r>
          </w:p>
        </w:tc>
      </w:tr>
      <w:tr>
        <w:trPr>
          <w:trHeight w:val="44"/>
        </w:trPr>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3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Tax Law Change</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a number of tax provisions and multiple effective dates commencing in fiscal year 2026. The Company is currently evaluating the effect of the OBBBA enactment on its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indeterminate at this time, the Company believes the resolution of these uncertainties in a manner inconsistent with our expectations could have a material impact on our results of operations and financial condition.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The table below presents information on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August 3,</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balance sheet date, the Company was notified that it will be subject to a routine income tax audit by authorities in a foreign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process is in its initial stages, and at this time, the Company is unable to reasonably estimate any potential impact from the tax audit.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61,815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60,274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awards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common shares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60,567</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 Photronics, Inc.</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9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7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12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12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00" w:type="dxa"/>
            <w:vAlign w:val="bottom"/>
          </w:tcPr>
          <w:p>
            <w:pPr>
              <w:spacing w:after="0"/>
              <w:rPr>
                <w:sz w:val="16"/>
                <w:szCs w:val="16"/>
                <w:color w:val="auto"/>
              </w:rPr>
            </w:pPr>
          </w:p>
        </w:tc>
      </w:tr>
      <w:tr>
        <w:trPr>
          <w:trHeight w:val="245"/>
        </w:trPr>
        <w:tc>
          <w:tcPr>
            <w:tcW w:w="4260" w:type="dxa"/>
            <w:vAlign w:val="bottom"/>
          </w:tcPr>
          <w:p>
            <w:pPr>
              <w:spacing w:after="0"/>
              <w:rPr>
                <w:sz w:val="21"/>
                <w:szCs w:val="21"/>
                <w:color w:val="auto"/>
              </w:rPr>
            </w:pPr>
          </w:p>
        </w:tc>
        <w:tc>
          <w:tcPr>
            <w:tcW w:w="2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 in shares</w:t>
            </w:r>
          </w:p>
        </w:tc>
        <w:tc>
          <w:tcPr>
            <w:tcW w:w="17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1,094</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894</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310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1,094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894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570"/>
        </w:trPr>
        <w:tc>
          <w:tcPr>
            <w:tcW w:w="4260" w:type="dxa"/>
            <w:vAlign w:val="bottom"/>
          </w:tcPr>
          <w:p>
            <w:pPr>
              <w:spacing w:after="0"/>
              <w:rPr>
                <w:sz w:val="24"/>
                <w:szCs w:val="24"/>
                <w:color w:val="auto"/>
              </w:rPr>
            </w:pPr>
          </w:p>
        </w:tc>
        <w:tc>
          <w:tcPr>
            <w:tcW w:w="172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23</w:t>
            </w: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August 3, 2025, the Company’s unrecognized commitments for the acquisition of property, plant and equipment were $147.2 million, including commitments with a remaining term in excess of one year of approximately $32.5 million. This amount does not include the Company’s commitments under the Company’s debt and lease arrangements.</w:t>
      </w:r>
    </w:p>
    <w:p>
      <w:pPr>
        <w:spacing w:after="0" w:line="176" w:lineRule="exact"/>
        <w:rPr>
          <w:sz w:val="20"/>
          <w:szCs w:val="20"/>
          <w:color w:val="auto"/>
        </w:rPr>
      </w:pPr>
    </w:p>
    <w:p>
      <w:pPr>
        <w:ind w:right="440" w:firstLine="324"/>
        <w:spacing w:after="0" w:line="312" w:lineRule="auto"/>
        <w:rPr>
          <w:sz w:val="20"/>
          <w:szCs w:val="20"/>
          <w:color w:val="auto"/>
        </w:rPr>
      </w:pPr>
      <w:r>
        <w:rPr>
          <w:rFonts w:ascii="Times New Roman" w:cs="Times New Roman" w:eastAsia="Times New Roman" w:hAnsi="Times New Roman"/>
          <w:sz w:val="17"/>
          <w:szCs w:val="17"/>
          <w:color w:val="auto"/>
        </w:rPr>
        <w:t>The Company is subject to various other claims that arise in the ordinary course of business. The Company believes that the Company’s potential liability under such claims, individually or in the aggregate, will not have a material effect on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(LOSS) INCOME BY COMPONENT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(loss) income by component (net of tax) for the three-month and nine-month periods ended August 3, 2025, and July 28,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August 3, 2025</w:t>
            </w: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2025</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(86,568)</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(87,295)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29,143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(10,352)</w:t>
            </w:r>
          </w:p>
        </w:tc>
      </w:tr>
      <w:tr>
        <w:trPr>
          <w:trHeight w:val="223"/>
        </w:trPr>
        <w:tc>
          <w:tcPr>
            <w:tcW w:w="546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 2025</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5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 Ended July 28, 2024</w:t>
            </w: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(95,271)</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(95,932)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r>
      <w:tr>
        <w:trPr>
          <w:trHeight w:val="27"/>
        </w:trPr>
        <w:tc>
          <w:tcPr>
            <w:tcW w:w="54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28, 2024</w:t>
            </w:r>
          </w:p>
        </w:tc>
        <w:tc>
          <w:tcPr>
            <w:tcW w:w="1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(99,851)</w:t>
            </w: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(100,480)</w:t>
            </w:r>
          </w:p>
        </w:tc>
      </w:tr>
      <w:tr>
        <w:trPr>
          <w:trHeight w:val="27"/>
        </w:trPr>
        <w:tc>
          <w:tcPr>
            <w:tcW w:w="5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9"/>
        </w:trPr>
        <w:tc>
          <w:tcPr>
            <w:tcW w:w="5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 August 3, 2025</w:t>
            </w:r>
          </w:p>
        </w:tc>
      </w:tr>
      <w:tr>
        <w:trPr>
          <w:trHeight w:val="194"/>
        </w:trPr>
        <w:tc>
          <w:tcPr>
            <w:tcW w:w="54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(85,587)</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(15,545)</w:t>
            </w:r>
          </w:p>
        </w:tc>
      </w:tr>
      <w:tr>
        <w:trPr>
          <w:trHeight w:val="223"/>
        </w:trPr>
        <w:tc>
          <w:tcPr>
            <w:tcW w:w="5460" w:type="dxa"/>
            <w:vAlign w:val="bottom"/>
          </w:tcPr>
          <w:p>
            <w:pPr>
              <w:spacing w:after="0"/>
              <w:rPr>
                <w:sz w:val="19"/>
                <w:szCs w:val="19"/>
                <w:color w:val="auto"/>
              </w:rPr>
            </w:pPr>
          </w:p>
        </w:tc>
        <w:tc>
          <w:tcPr>
            <w:tcW w:w="180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1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 2025</w:t>
            </w: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70"/>
        </w:trPr>
        <w:tc>
          <w:tcPr>
            <w:tcW w:w="5460" w:type="dxa"/>
            <w:vAlign w:val="bottom"/>
          </w:tcPr>
          <w:p>
            <w:pPr>
              <w:spacing w:after="0"/>
              <w:rPr>
                <w:sz w:val="24"/>
                <w:szCs w:val="24"/>
                <w:color w:val="auto"/>
              </w:rPr>
            </w:pPr>
          </w:p>
        </w:tc>
        <w:tc>
          <w:tcPr>
            <w:tcW w:w="1660" w:type="dxa"/>
            <w:vAlign w:val="bottom"/>
          </w:tcPr>
          <w:p>
            <w:pPr>
              <w:jc w:val="right"/>
              <w:ind w:right="1335"/>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5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Nine Months Ended July 28, 2024</w:t>
            </w:r>
          </w:p>
        </w:tc>
      </w:tr>
      <w:tr>
        <w:trPr>
          <w:trHeight w:val="194"/>
        </w:trPr>
        <w:tc>
          <w:tcPr>
            <w:tcW w:w="10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0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(88,044)</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(13,716)</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1,970</w:t>
            </w:r>
          </w:p>
        </w:tc>
      </w:tr>
      <w:tr>
        <w:trPr>
          <w:trHeight w:val="223"/>
        </w:trPr>
        <w:tc>
          <w:tcPr>
            <w:tcW w:w="10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3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r>
      <w:tr>
        <w:trPr>
          <w:trHeight w:val="223"/>
        </w:trPr>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28, 2024</w:t>
            </w: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2"/>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No shares were repurchased during the three- or nine-month periods ended July 28, 2024. In August 2024, the Board of Directors authorized an increase to the Company’s existing share repurchase program from the remaining $31.7 million up to $100 million. During the three-month period ended August 3, 2025, the Company repurchased 1.2 million shares at a cost of $20.7 million pursuant to Rule 10b-18 of the Exchange Act. During the nine-month period ended August 3, 2025, the Company repurchased 5 million shares at a cost of $97.4 million pursuant to Rule 10b-18 of the Exchange Act. In June 2025, the Board of Directors authorized an additional $25 million share repurchase. As a result, as of August 3, 2025, $27.6 million remained available under this authorization. All shares repurchased under the program have been retired.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2024), that may cause actual results to materially differ from these expectations. See “Forward-Looking Statements”.</w:t>
      </w:r>
    </w:p>
    <w:p>
      <w:pPr>
        <w:spacing w:after="0" w:line="16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in the past expanded beyond the industry’s capacity to supply them within the traditional time period; thus, for some products, the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86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50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500" w:type="dxa"/>
            <w:vAlign w:val="bottom"/>
            <w:tcBorders>
              <w:top w:val="single" w:sz="8" w:color="auto"/>
            </w:tcBorders>
            <w:gridSpan w:val="3"/>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96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100" w:type="dxa"/>
            <w:vAlign w:val="bottom"/>
            <w:tcBorders>
              <w:top w:val="single" w:sz="8" w:color="auto"/>
            </w:tcBorders>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c>
          <w:tcPr>
            <w:tcW w:w="160" w:type="dxa"/>
            <w:vAlign w:val="bottom"/>
          </w:tcPr>
          <w:p>
            <w:pPr>
              <w:spacing w:after="0"/>
              <w:rPr>
                <w:sz w:val="16"/>
                <w:szCs w:val="16"/>
                <w:color w:val="auto"/>
              </w:rPr>
            </w:pPr>
          </w:p>
        </w:tc>
      </w:tr>
      <w:tr>
        <w:trPr>
          <w:trHeight w:val="245"/>
        </w:trPr>
        <w:tc>
          <w:tcPr>
            <w:tcW w:w="450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5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4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left w:val="single" w:sz="8" w:color="CCEEFF"/>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4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Note: All the following tabular comparisons, unless otherwise indicated, are for the three months ended August 3, 2025 (Q3 FY25), May 4, 2025 (Q2 FY25) and July 28, 2024 (Q3 FY24) and for the nine months ended August 3, 2025 (YTD FY25) and July 28, 2024 (YTD FY24).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Q3 FY25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Revenue by Product Type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Q3 FY25 compared with Q2 FY25</w:t>
            </w:r>
          </w:p>
        </w:tc>
        <w:tc>
          <w:tcPr>
            <w:tcW w:w="28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Q3 FY25 compared with Q3 FY24</w:t>
            </w:r>
          </w:p>
        </w:tc>
        <w:tc>
          <w:tcPr>
            <w:tcW w:w="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YTD FY25 compared with YTD FY24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6"/>
                <w:szCs w:val="16"/>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1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Pr>
          <w:p>
            <w:pPr>
              <w:spacing w:after="0"/>
              <w:rPr>
                <w:sz w:val="16"/>
                <w:szCs w:val="16"/>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Pr>
          <w:p>
            <w:pPr>
              <w:spacing w:after="0"/>
              <w:rPr>
                <w:sz w:val="16"/>
                <w:szCs w:val="16"/>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6"/>
        </w:trPr>
        <w:tc>
          <w:tcPr>
            <w:tcW w:w="1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7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Revenue by Geographic Origin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gridSpan w:val="6"/>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Q3 FY25 compared with Q2 FY25</w:t>
            </w:r>
          </w:p>
        </w:tc>
        <w:tc>
          <w:tcPr>
            <w:tcW w:w="23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Q3 FY25 compared with</w:t>
            </w:r>
          </w:p>
        </w:tc>
        <w:tc>
          <w:tcPr>
            <w:tcW w:w="3320" w:type="dxa"/>
            <w:vAlign w:val="bottom"/>
            <w:gridSpan w:val="8"/>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YTD FY25 compared with YTD FY24</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33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Revenue</w:t>
            </w:r>
          </w:p>
        </w:tc>
        <w:tc>
          <w:tcPr>
            <w:tcW w:w="100" w:type="dxa"/>
            <w:vAlign w:val="bottom"/>
          </w:tcPr>
          <w:p>
            <w:pPr>
              <w:spacing w:after="0"/>
              <w:rPr>
                <w:sz w:val="16"/>
                <w:szCs w:val="16"/>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6"/>
                <w:szCs w:val="16"/>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2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30"/>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11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1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2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2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Revenue in Q3 FY25 of $210.4 million represented a decrease of 0.3% compared with Q2 FY25 and Q3 FY24, as weakness in IC revenue was partially offset by strength in FPD demand. Revenue in YTD FY25 of $633.5 million represented a decrease of 1.7% compared to the same period in FY24, primarily due to IC mainstream revenue decrease in Asia, offset slightly by an increase in FPD mainstream revenue.</w:t>
      </w:r>
    </w:p>
    <w:p>
      <w:pPr>
        <w:spacing w:after="0" w:line="176" w:lineRule="exact"/>
        <w:rPr>
          <w:sz w:val="20"/>
          <w:szCs w:val="20"/>
          <w:color w:val="auto"/>
        </w:rPr>
      </w:pPr>
    </w:p>
    <w:p>
      <w:pPr>
        <w:ind w:right="20" w:firstLine="315"/>
        <w:spacing w:after="0" w:line="258" w:lineRule="auto"/>
        <w:rPr>
          <w:sz w:val="20"/>
          <w:szCs w:val="20"/>
          <w:color w:val="auto"/>
        </w:rPr>
      </w:pPr>
      <w:r>
        <w:rPr>
          <w:rFonts w:ascii="Times New Roman" w:cs="Times New Roman" w:eastAsia="Times New Roman" w:hAnsi="Times New Roman"/>
          <w:sz w:val="18"/>
          <w:szCs w:val="18"/>
          <w:color w:val="auto"/>
        </w:rPr>
        <w:t>IC revenue decreased $8.1 million or 5.2% in Q3 FY25 from Q2 FY25, primarily due to a decrease in both high-end and mainstream revenue in Asia reflecting continued headwinds experienced in 2025, including geopolitical trade restrictions and unresolved tariff negotiations. Comparing Q3 FY25 to Q3 FY24, IC revenue decreased $8.1 million or 5.2%, mainly due to reduced mainstream demand in Asia, partially offset by strong high-end order patterns in the United States. IC revenue decreased $16.8 million or 3.5% in YTD FY25 from YTD FY24, mainly due to reduced mainstream demand in Asia and Europe, partially offset by increased high-end demand in the United States.</w:t>
      </w:r>
    </w:p>
    <w:p>
      <w:pPr>
        <w:spacing w:after="0" w:line="183" w:lineRule="exact"/>
        <w:rPr>
          <w:sz w:val="20"/>
          <w:szCs w:val="20"/>
          <w:color w:val="auto"/>
        </w:rPr>
      </w:pPr>
    </w:p>
    <w:p>
      <w:pPr>
        <w:ind w:right="120" w:firstLine="315"/>
        <w:spacing w:after="0" w:line="266" w:lineRule="auto"/>
        <w:rPr>
          <w:sz w:val="20"/>
          <w:szCs w:val="20"/>
          <w:color w:val="auto"/>
        </w:rPr>
      </w:pPr>
      <w:r>
        <w:rPr>
          <w:rFonts w:ascii="Times New Roman" w:cs="Times New Roman" w:eastAsia="Times New Roman" w:hAnsi="Times New Roman"/>
          <w:sz w:val="18"/>
          <w:szCs w:val="18"/>
          <w:color w:val="auto"/>
        </w:rPr>
        <w:t>FPD revenue increased $7.5 million or 13.5% in Q3 FY25 from Q2 FY25, driven by an increase in high-end of $9.9 million or 22.6%. Comparing Q3 FY25 to Q3 FY24, FPD revenue increased $7.5 million or 13.6%, driven by increased demand in both high-end and mainstream markets particularly in South Korea. FPD revenue increased by $6.0 million or 3.5% in YTD FY25 from YTD FY24, mainly due to increased mainstream demand in Asia.</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85"/>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Gross Margin ($ in millions)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12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70.9</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224.3</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33.7%</w:t>
            </w:r>
          </w:p>
        </w:tc>
        <w:tc>
          <w:tcPr>
            <w:tcW w:w="3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36.9%</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35.6%</w:t>
            </w:r>
          </w:p>
        </w:tc>
        <w:tc>
          <w:tcPr>
            <w:tcW w:w="1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by 320 basis points in Q3 FY25 compared to Q2 FY25, primarily as a result of an unfavorable product mix, reflected in material costs increase of 8.2%, or 207 basis points as a percentage of revenue as well as an increase in labor and benefits costs of 6.3%, or 70 basis points as a percentage of revenue.</w:t>
      </w:r>
    </w:p>
    <w:p>
      <w:pPr>
        <w:spacing w:after="0" w:line="176" w:lineRule="exact"/>
        <w:rPr>
          <w:sz w:val="20"/>
          <w:szCs w:val="20"/>
          <w:color w:val="auto"/>
        </w:rPr>
      </w:pPr>
    </w:p>
    <w:p>
      <w:pPr>
        <w:ind w:right="120" w:firstLine="549"/>
        <w:spacing w:after="0" w:line="266" w:lineRule="auto"/>
        <w:rPr>
          <w:sz w:val="20"/>
          <w:szCs w:val="20"/>
          <w:color w:val="auto"/>
        </w:rPr>
      </w:pPr>
      <w:r>
        <w:rPr>
          <w:rFonts w:ascii="Times New Roman" w:cs="Times New Roman" w:eastAsia="Times New Roman" w:hAnsi="Times New Roman"/>
          <w:sz w:val="18"/>
          <w:szCs w:val="18"/>
          <w:color w:val="auto"/>
        </w:rPr>
        <w:t>Gross margin decreased by 190 basis points in Q3 FY25, from Q3 FY24, primarily as a result of an unfavorable product mix, reflected by material costs increase of 11.4%, or 278 basis points as a percentage of revenue, partially offset by a decrease in other cost of goods sold of 11.2%, or 111 basis points as a percentage of revenue.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by 90 basis points in YTD FY25 as compared to YTD FY24, mainly due to the decrease in revenue of 1.7% as well as an unfavorable product mix resulting in material costs increase by 2.5% or 102 basis points as a percentage of revenue, partially offset by decreased labor and benefits costs of 4.3%, or 31 basis points as a percentage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$18.4 million in Q3 FY25, compared with $18.1 million in Q2 FY25, and $19.4 million in Q3 FY24. The $0.3 million increase from Q2 FY25 was primarily the result of an increase in professional fees of $0.2 million. The $1.0 million decrease from Q3 FY24 was primarily the result of decreased professional fees of $0.8 million.</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$55.6 million in YTD FY25, compared with $56.8 million in YTD FY24. The $1.2 million decrease from YTD FY24 was a result of a decrease in labor and benefits cost of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$4.3 million in Q3 FY25, compared with $4.1 million in Q2 FY25, and $3.6 million in Q3 FY24. The increase from Q2 FY25 and Q3 FY24 was primarily caused by increased qualification activities in Asia.</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$12.6 million in YTD FY25, compared with $11.3 million in YTD FY24. The $1.3 million increase from YTD FY24 was a result of increased development activities in the U.S.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 ($ in millions)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160" w:type="dxa"/>
            <w:vAlign w:val="bottom"/>
          </w:tcPr>
          <w:p>
            <w:pPr>
              <w:spacing w:after="0"/>
              <w:rPr>
                <w:sz w:val="24"/>
                <w:szCs w:val="24"/>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1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FY24</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r>
      <w:tr>
        <w:trPr>
          <w:trHeight w:val="27"/>
        </w:trPr>
        <w:tc>
          <w:tcPr>
            <w:tcW w:w="10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columns may not foot due to rounding.</w:t>
      </w:r>
    </w:p>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Expense, net decreased in Q3 FY25 from Q2 FY25 by $16.4 million primarily driven by favorable movements of the New Taiwan dollar and the South Korean won, against the U.S. dollar. Other Expense, net increased in Q3 FY25 from Q3 FY24 by $19.5 million primarily driven by unfavorable movements of the New Taiwan dollar and the South Korean won, against the U.S. dollar.</w:t>
      </w:r>
    </w:p>
    <w:p>
      <w:pPr>
        <w:spacing w:after="0" w:line="176" w:lineRule="exact"/>
        <w:rPr>
          <w:sz w:val="20"/>
          <w:szCs w:val="20"/>
          <w:color w:val="auto"/>
        </w:rPr>
      </w:pPr>
    </w:p>
    <w:p>
      <w:pPr>
        <w:ind w:right="560" w:firstLine="315"/>
        <w:spacing w:after="0" w:line="282" w:lineRule="auto"/>
        <w:rPr>
          <w:sz w:val="20"/>
          <w:szCs w:val="20"/>
          <w:color w:val="auto"/>
        </w:rPr>
      </w:pPr>
      <w:r>
        <w:rPr>
          <w:rFonts w:ascii="Times New Roman" w:cs="Times New Roman" w:eastAsia="Times New Roman" w:hAnsi="Times New Roman"/>
          <w:sz w:val="18"/>
          <w:szCs w:val="18"/>
          <w:color w:val="auto"/>
        </w:rPr>
        <w:t>Other Expense, net increased in YTD FY25 from YTD FY24 by $37.1 million, primarily due to foreign currency impacts which were driven by unfavorable movements of the New Taiwan dollar and the South Korean won, against the U.S. dollar.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 in millions)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Q3 FY24</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6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49.0</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0"/>
                <w:szCs w:val="20"/>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25.4%</w:t>
            </w:r>
          </w:p>
        </w:tc>
      </w:tr>
    </w:tbl>
    <w:p>
      <w:pPr>
        <w:spacing w:after="0" w:line="1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The Company is currently subject to Pillar Two, but we estimate that the financial impact is immaterial. We will continue to monitor further developments to determine any potential impact in the countries in which we operate.</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to federal tax law and other regulatory provisions that may impact the Company. The legislation enacted will be effective for Photronics commencing in our fiscal year 2026. We will continue to monitor and evaluate the impact of the legislative changes as more guidance becomes available.</w:t>
      </w:r>
    </w:p>
    <w:p>
      <w:pPr>
        <w:spacing w:after="0" w:line="176"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increases in Q3 FY25, compared with Q2 FY25 and Q3 FY24, are primarily due to changes in the jurisdictional mix of earnings.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income tax rate decrease in YTD FY25 compared with YTD FY24 is primarily due to changes in the jurisdictional mix of earnings.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was $6.2 million in Q3 FY25, compared with $15.4 million in Q2 FY25 and $13.8 million in Q3 FY24; the decrease from Q2 FY25 and Q3 FY24 was the result of the decrease in net income of the Company’s joint ventures. Net income attributable to noncontrolling interests was $37.0 million in YTD FY25, compared with $46.8 million in YTD FY24. The decrease was a result of decreased net income at the Company’s joint-venture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were $479.5 million and $598.5 million as of August 3, 2025, and October 31, 2024, respectively. As of August 3, 2025, total cash and cash equivalents included $416.1 million held by foreign subsidiaries, including an aggregate of $328.2 million held by our joint ventures in Taiwan and China. In addition, we currently have CNY 200 million or USD 25 million of borrowing capacity in China to support local operations. See Note 7 – Debt to the consolidated financial statements for additional information on the Company’s outstanding debt and currently available financing. The Company’s primary sources of liquidity are the Company’s cash on hand and cash we generate from operations.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the Company’s capital expenditures and ongoing operations. These reviews may result in the Company’s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the Company’s liquidity, including available financing, is sufficient to meet the Company’s requirements through the next twelve months and thereafter for the foreseeable future. Through the utilization of the Company’s existing liquidity, the cash we generate from operations and short-term investments, we plan to continue to invest in the Company’s business, with the Company’s investments targeted to align with the Company’s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estimate capital expenditures for the Company’s fiscal year 2025 will be approximately $200 million mainly in Asia and the U.S.; these investments will be targeted towards high-end and mainstream capacity that will increase the Company’s operating capability and efficiency, and enable us to support customers’ near-term demands. As of August 3, 2025, we had outstanding capital commitments of approximately $147.2 million and accrued liabilities related to capital equipment purchases of approximately $28.3 million. Although payment timing could vary, primarily as a result of the timing of tool delivery, installation and testing, we currently estimate that we will fund $154.8 million of the Company’s total $175.5 million committed and recognized obligations for capital expenditures over the next twelve months.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to $100 million. During the nine-month period ended August 3, 2025, the Company repurchased 5 million shares for $97.4 million. In June 2025, the Board of Directors authorized an additional $25 million share repurchase. As a result, as of August 3, 2025, $27.6 million remained available under this authorization. Depending on market conditions, we may utilize some or the entire remaining approved amount to reacquire additional shares.</w:t>
      </w:r>
    </w:p>
    <w:p>
      <w:pPr>
        <w:spacing w:after="0" w:line="17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 PDMCX Joint Venture</w:t>
      </w:r>
      <w:r>
        <w:rPr>
          <w:rFonts w:ascii="Times New Roman" w:cs="Times New Roman" w:eastAsia="Times New Roman" w:hAnsi="Times New Roman"/>
          <w:sz w:val="18"/>
          <w:szCs w:val="18"/>
          <w:color w:val="auto"/>
        </w:rPr>
        <w:t xml:space="preserve"> of the Company’s consolidated financial statements, DNP, the noncontrolling interest in the Company’s China-based joint venture has, under certain circumstances, the right to put its interest in the joint venture to Photronics, or to purchase the Company’s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August 3, 2025, Photronics and DNP each had net investments in this joint venture of approximately $153.4 million.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provided by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decreased by $33.1 million in FY25, compared with the same period of FY24, primarily due to decreased net income.</w:t>
      </w:r>
    </w:p>
    <w:p>
      <w:pPr>
        <w:spacing w:after="0" w:line="173"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flows used in investing activities increased by $31.5 million in FY25, compared to the same period in FY24,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an increase of purchases of property, plant and equipment of $32.9 million partially offset by a decrease in purchases of short term investments of $4.0 million.</w:t>
      </w:r>
    </w:p>
    <w:p>
      <w:pPr>
        <w:spacing w:after="0" w:line="173" w:lineRule="exact"/>
        <w:rPr>
          <w:sz w:val="20"/>
          <w:szCs w:val="20"/>
          <w:color w:val="auto"/>
        </w:rPr>
      </w:pPr>
    </w:p>
    <w:p>
      <w:pPr>
        <w:jc w:val="both"/>
        <w:ind w:right="50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used in financing activities increased by $108.9 million in FY25, compared to the same period of FY24. This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repurchase of the Company’s common shares as part of the Share Repurchase Program of $97.4 million and increase of debt repayments of $13.5 million.</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Effects of exchange rate changes on the Company’s cash, cash equivalents, and restricted cash balances increased by $16.6 million from unfavorable $6.5 million during YTD FY24 to favorable $10.1 million during the same period of FY25.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60" w:firstLine="549"/>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firstLine="546"/>
        <w:spacing w:after="0" w:line="282" w:lineRule="auto"/>
        <w:rPr>
          <w:sz w:val="20"/>
          <w:szCs w:val="20"/>
          <w:color w:val="auto"/>
        </w:rPr>
      </w:pPr>
      <w:r>
        <w:rPr>
          <w:rFonts w:ascii="Times New Roman" w:cs="Times New Roman" w:eastAsia="Times New Roman" w:hAnsi="Times New Roman"/>
          <w:sz w:val="18"/>
          <w:szCs w:val="18"/>
          <w:color w:val="auto"/>
        </w:rPr>
        <w:t>The following table reconciles U.S. GAAP Net Income and Earnings per Share attributable to Photronics, Inc. shareholders to the Non-GAAP Net income and Earnings per Share attributable to Photronics, Inc. shareholders for the indicated periods. The columns may not foot due to rounding.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6"/>
                <w:szCs w:val="16"/>
                <w:color w:val="auto"/>
              </w:rPr>
            </w:pPr>
          </w:p>
        </w:tc>
        <w:tc>
          <w:tcPr>
            <w:tcW w:w="112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80" w:type="dxa"/>
            <w:vAlign w:val="bottom"/>
          </w:tcPr>
          <w:p>
            <w:pPr>
              <w:spacing w:after="0"/>
              <w:rPr>
                <w:sz w:val="16"/>
                <w:szCs w:val="16"/>
                <w:color w:val="auto"/>
              </w:rPr>
            </w:pPr>
          </w:p>
        </w:tc>
        <w:tc>
          <w:tcPr>
            <w:tcW w:w="104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July 28,</w:t>
            </w:r>
          </w:p>
        </w:tc>
      </w:t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Income attributable to Photronics, Inc.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31,111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(7,376)</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60,974</w:t>
            </w: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diluted earnings per share attributable to Photronics, Inc.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Effects of the above non-GAAP adjustments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 attributable to Photronics, Inc.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current business outlook and guidance was provided in the Photronics Q3 FY25 earnings press release, earnings presentation, and financial results conference call, but is not incorporated herein. These can be accessed in the investor section of our website - </w:t>
      </w:r>
      <w:r>
        <w:rPr>
          <w:rFonts w:ascii="Times New Roman" w:cs="Times New Roman" w:eastAsia="Times New Roman" w:hAnsi="Times New Roman"/>
          <w:sz w:val="18"/>
          <w:szCs w:val="18"/>
          <w:u w:val="single" w:color="auto"/>
          <w:color w:val="auto"/>
        </w:rPr>
        <w:t>www.photronics.com</w:t>
      </w:r>
      <w:r>
        <w:rPr>
          <w:rFonts w:ascii="Times New Roman" w:cs="Times New Roman" w:eastAsia="Times New Roman" w:hAnsi="Times New Roman"/>
          <w:sz w:val="18"/>
          <w:szCs w:val="18"/>
          <w:color w:val="auto"/>
        </w:rPr>
        <w:t>. Information included on our website is not incorporated in this Form 10-Q.</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Q3 FY25 earnings press release, and the related financial results conference call and earnings presentation involve a number of risks and uncertainties, some of which were discussed in Part I, Item 1A of our 2024 Form 10-K. These factors and a number of other unforeseeable factors could cause actual results to differ materially from our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2024 Form 10-K for discussion of our critical accounting estimates. There have been no changes to our critical accounting estimates since the filing of our Form 10-K for the year ended October 31, 2024.</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and the euro. In addition, we engage in transactions and have exposures to the Japanese yen.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August 3, 2025,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$69.7 million, which represents a decrease of $1.6 million from our exposure at May 4, 2025. Our most significant exposures at August 3, 2025, were exposures of the New Taiwan dollar, the South Korean won and the Chinese yuan to the U.S. dollar, which were, respectively, $36.1 million, $24.9 million and $5.4 million at that date. We do not believe that a 10% change in the exchange rates of non-US dollar currencies, other than the aforementioned currencies and the Japanese yen, would have had a material effect on our August 3, 2025,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10% adverse or favorable movement in the interest rates on our variable rate borrowings would not have had a material effect on the Company’s August 3, 2025, condensed consolidated financial statements, as there were no variable rate borrowings outstanding as of the balance sheet date.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30"/>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was required to apply its judgment in evaluating the cost-benefit relationship of possible controls and procedures.</w:t>
      </w:r>
    </w:p>
    <w:p>
      <w:pPr>
        <w:spacing w:after="0" w:line="189" w:lineRule="exact"/>
        <w:rPr>
          <w:sz w:val="20"/>
          <w:szCs w:val="20"/>
          <w:color w:val="auto"/>
        </w:rPr>
      </w:pPr>
    </w:p>
    <w:p>
      <w:pPr>
        <w:ind w:right="220" w:firstLine="333"/>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third fiscal quarter ended August 3, 2025, which have materially affected, or are reasonably likely to materially affect, the Company’s internal control over financial reporting.</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12 within Part I,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except the paragraph below, to our risk factors as set forth in “Item 1A. Risk Factors” in our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Tariffs and Global Trade Policies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FY25, new tariffs were announced on imports to the U.S., followed by various modifications and delays. Further changes are expected to be made in the future, which may include additional sector-based tariffs or other measures. The U.S. Department of Commerce has initiated an investigation under Section 232 of the Trade Expansion Act of 1962, as amended, into, among other things, imports of semiconductors, semiconductor manufacturing equipment, and their derivative products, including downstream products that contain semiconductors. Tariffs and trade restrictions may increase costs and complexity in our supply chain, including the procurement of semiconductor manufacturing equipment, raw materials, and critical components. They may also elevate the cost of our products, reduce demand, and negatively affect customer purchasing behavior. These risks, individually or collectively, could adversely affect our business, financial condition, and results of operations.</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No shares were repurchased during the three- or nine-month periods ended July 28, 2024. In August 2024, the Board of Directors authorized an increase to the Company’s existing share repurchase program from the remaining $31.7 million up to $100 million. During the three-month period ended August 3, 2025, the Company repurchased 1.2 million shares at a cost of $20.7 million pursuant to Rule 10b-18 of the Exchange Act. During the nine-month period ended August 3, 2025, the Company repurchased 5 million shares at a cost of $97.4 million pursuant to Rule 10b-18 of the Exchange Act. In June 2025, the Board of Directors authorized an additional $25 million share repurchase. As a result, as of August 3, 2025, $27.6 million remained available under this authorization. All shares repurchased under the program have been retired.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third quarter of fiscal year 2025. This table excludes shares repurchased to settle employee tax withholding related to the vesting of stock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45"/>
        </w:trPr>
        <w:tc>
          <w:tcPr>
            <w:tcW w:w="8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72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5, 2025 – June 1, 2025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366,900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17.34</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366,900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 2025 – June 29, 2025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810,630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17.72</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810,630</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 – August 3, 2025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8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9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1,177,530</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1,177,530</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 such plans or arrangements were adopted or terminated, including by modification, by any director or officer (as defined in Rule 16a-1 under the Exchange Act) during the quarter ended August 3, 2025</w:t>
      </w:r>
      <w:r>
        <w:rPr>
          <w:rFonts w:ascii="Times New Roman" w:cs="Times New Roman" w:eastAsia="Times New Roman" w:hAnsi="Times New Roman"/>
          <w:sz w:val="18"/>
          <w:szCs w:val="18"/>
          <w:color w:val="FF0000"/>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56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8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320" w:type="dxa"/>
            <w:vAlign w:val="bottom"/>
          </w:tcPr>
          <w:p>
            <w:pPr>
              <w:spacing w:after="0"/>
              <w:rPr>
                <w:sz w:val="24"/>
                <w:szCs w:val="24"/>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3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gridSpan w:val="2"/>
            <w:vMerge w:val="restart"/>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20" w:type="dxa"/>
            <w:vAlign w:val="bottom"/>
          </w:tcPr>
          <w:p>
            <w:pPr>
              <w:spacing w:after="0"/>
              <w:rPr>
                <w:sz w:val="17"/>
                <w:szCs w:val="1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320" w:type="dxa"/>
            <w:vAlign w:val="bottom"/>
          </w:tcPr>
          <w:p>
            <w:pPr>
              <w:spacing w:after="0"/>
              <w:rPr>
                <w:sz w:val="17"/>
                <w:szCs w:val="17"/>
                <w:color w:val="auto"/>
              </w:rPr>
            </w:pPr>
          </w:p>
        </w:tc>
        <w:tc>
          <w:tcPr>
            <w:tcW w:w="940" w:type="dxa"/>
            <w:vAlign w:val="bottom"/>
            <w:gridSpan w:val="3"/>
          </w:tcPr>
          <w:p>
            <w:pPr>
              <w:jc w:val="center"/>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88"/>
              </w:rPr>
              <w:t>Furnished</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4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800" w:type="dxa"/>
            <w:vAlign w:val="bottom"/>
            <w:gridSpan w:val="4"/>
            <w:vMerge w:val="continue"/>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gridSpan w:val="6"/>
          </w:tcPr>
          <w:p>
            <w:pPr>
              <w:jc w:val="center"/>
              <w:ind w:left="11"/>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6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800" w:type="dxa"/>
            <w:vAlign w:val="bottom"/>
            <w:gridSpan w:val="4"/>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3"/>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4"/>
              </w:rPr>
              <w:t>Herewith</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6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14(a)/15d-14(a)</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6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4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14(a)/15d-14(a)</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6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4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1350, as</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6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940" w:type="dxa"/>
            <w:vAlign w:val="bottom"/>
            <w:gridSpan w:val="3"/>
            <w:shd w:val="clear" w:color="auto" w:fill="CCEEFF"/>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1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1350, as</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5860" w:type="dxa"/>
            <w:vAlign w:val="bottom"/>
            <w:gridSpan w:val="4"/>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60" w:type="dxa"/>
            <w:vAlign w:val="bottom"/>
            <w:gridSpan w:val="4"/>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3"/>
            <w:shd w:val="clear" w:color="auto" w:fill="CCEEFF"/>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6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righ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4"/>
          </w:tcPr>
          <w:p>
            <w:pPr>
              <w:ind w:left="4780"/>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6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602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certify that:</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3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Chief Executive Officer of Photronics, Inc. (the “Company”), certify, to my knowledge,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07" w:lineRule="exact"/>
        <w:rPr>
          <w:sz w:val="20"/>
          <w:szCs w:val="20"/>
          <w:color w:val="auto"/>
        </w:rPr>
      </w:pPr>
    </w:p>
    <w:p>
      <w:pPr>
        <w:ind w:left="660" w:right="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August 3,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660" w:right="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August 3,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2025-09-09T15:38:35Z</dcterms:created>
  <dcterms:modified xsi:type="dcterms:W3CDTF">2025-09-09T15:38:35Z</dcterms:modified>
</cp:coreProperties>
</file>