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ind w:left="3900" w:right="2220" w:hanging="3892"/>
        <w:spacing w:after="0" w:line="286" w:lineRule="auto"/>
        <w:tabs>
          <w:tab w:leader="none" w:pos="323" w:val="left"/>
        </w:tabs>
        <w:numPr>
          <w:ilvl w:val="0"/>
          <w:numId w:val="1"/>
        </w:numPr>
        <w:rPr>
          <w:rFonts w:ascii="MS PGothic" w:cs="MS PGothic" w:eastAsia="MS PGothic" w:hAnsi="MS PGothic"/>
          <w:sz w:val="18"/>
          <w:szCs w:val="18"/>
          <w:i w:val="1"/>
          <w:iCs w:val="1"/>
          <w:color w:val="auto"/>
        </w:rPr>
      </w:pPr>
      <w:r>
        <w:rPr>
          <w:rFonts w:ascii="Times New Roman" w:cs="Times New Roman" w:eastAsia="Times New Roman" w:hAnsi="Times New Roman"/>
          <w:sz w:val="18"/>
          <w:szCs w:val="18"/>
          <w:b w:val="1"/>
          <w:bCs w:val="1"/>
          <w:i w:val="1"/>
          <w:iCs w:val="1"/>
          <w:color w:val="auto"/>
        </w:rPr>
        <w:t>QUARTERLY REPORT PURSUANT TO SECTION 13 OR 15 (d) OF THE SECURITIES EXCHANGE ACT OF 1934 For the quarterly period ended February 1, 2015</w:t>
      </w:r>
    </w:p>
    <w:p>
      <w:pPr>
        <w:spacing w:after="0" w:line="155" w:lineRule="exact"/>
        <w:rPr>
          <w:sz w:val="24"/>
          <w:szCs w:val="24"/>
          <w:color w:val="auto"/>
        </w:rPr>
      </w:pPr>
    </w:p>
    <w:p>
      <w:pPr>
        <w:ind w:left="4180" w:right="2180" w:hanging="4172"/>
        <w:spacing w:after="0" w:line="532" w:lineRule="auto"/>
        <w:tabs>
          <w:tab w:leader="none" w:pos="326" w:val="left"/>
        </w:tabs>
        <w:numPr>
          <w:ilvl w:val="0"/>
          <w:numId w:val="2"/>
        </w:numPr>
        <w:rPr>
          <w:rFonts w:ascii="MS PGothic" w:cs="MS PGothic" w:eastAsia="MS PGothic" w:hAnsi="MS PGothic"/>
          <w:sz w:val="18"/>
          <w:szCs w:val="18"/>
          <w:i w:val="1"/>
          <w:iCs w:val="1"/>
          <w:color w:val="auto"/>
        </w:rPr>
      </w:pPr>
      <w:r>
        <w:rPr>
          <w:rFonts w:ascii="Times New Roman" w:cs="Times New Roman" w:eastAsia="Times New Roman" w:hAnsi="Times New Roman"/>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174625</wp:posOffset>
            </wp:positionV>
            <wp:extent cx="53149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49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06-0854886</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3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06804</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4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5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bl>
    <w:p>
      <w:pPr>
        <w:spacing w:after="0" w:line="225"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60"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w:t>
            </w:r>
          </w:p>
        </w:tc>
        <w:tc>
          <w:tcPr>
            <w:tcW w:w="594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Outstanding at February 27, 2015</w:t>
            </w:r>
          </w:p>
        </w:tc>
      </w:t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94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66,445,220 Shares</w:t>
            </w:r>
          </w:p>
        </w:tc>
      </w:tr>
      <w:tr>
        <w:trPr>
          <w:trHeight w:val="351"/>
        </w:trPr>
        <w:tc>
          <w:tcPr>
            <w:tcW w:w="548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03"/>
        </w:trPr>
        <w:tc>
          <w:tcPr>
            <w:tcW w:w="5480" w:type="dxa"/>
            <w:vAlign w:val="bottom"/>
            <w:tcBorders>
              <w:left w:val="single" w:sz="8" w:color="9A9A9A"/>
            </w:tcBorders>
          </w:tcPr>
          <w:p>
            <w:pPr>
              <w:spacing w:after="0"/>
              <w:rPr>
                <w:sz w:val="17"/>
                <w:szCs w:val="17"/>
                <w:color w:val="auto"/>
              </w:rPr>
            </w:pPr>
          </w:p>
        </w:tc>
        <w:tc>
          <w:tcPr>
            <w:tcW w:w="5940" w:type="dxa"/>
            <w:vAlign w:val="bottom"/>
            <w:tcBorders>
              <w:right w:val="single" w:sz="8" w:color="EEEEEE"/>
            </w:tcBorders>
          </w:tcPr>
          <w:p>
            <w:pPr>
              <w:spacing w:after="0"/>
              <w:rPr>
                <w:sz w:val="17"/>
                <w:szCs w:val="17"/>
                <w:color w:val="auto"/>
              </w:rPr>
            </w:pPr>
          </w:p>
        </w:tc>
      </w:tr>
      <w:tr>
        <w:trPr>
          <w:trHeight w:val="534"/>
        </w:trPr>
        <w:tc>
          <w:tcPr>
            <w:tcW w:w="54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ind w:firstLine="324"/>
        <w:spacing w:after="0" w:line="231" w:lineRule="auto"/>
        <w:rPr>
          <w:sz w:val="20"/>
          <w:szCs w:val="20"/>
          <w:color w:val="auto"/>
        </w:rPr>
      </w:pPr>
      <w:r>
        <w:rPr>
          <w:rFonts w:ascii="Times New Roman" w:cs="Times New Roman" w:eastAsia="Times New Roman" w:hAnsi="Times New Roman"/>
          <w:sz w:val="22"/>
          <w:szCs w:val="22"/>
          <w:color w:val="auto"/>
        </w:rPr>
        <w:t>The Private Securities Litigation Reform Act of 1995 provides a "safe harbor" for forward-looking statements made by or on behalf of Photronics, Inc. ("Photronics" or the "Company" or “we”). These statements are based on management's beliefs, as well as assumptions made by, and information currently available to, management. Forward-looking statements may be identified by words like "expect," "anticipate," "believe," "plan," "projects,"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60" w:type="dxa"/>
            <w:vAlign w:val="bottom"/>
            <w:gridSpan w:val="8"/>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3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February 1, 2015 and November 2, 2014</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for the Three Months Ended February 1, 2015 and February 2, 2014</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for theThree Months Ended February 1, 2015 and February 2,</w:t>
              </w:r>
            </w:hyperlink>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2014</w:t>
              </w:r>
            </w:hyperlink>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880" w:type="dxa"/>
            <w:vAlign w:val="bottom"/>
            <w:tcBorders>
              <w:top w:val="single" w:sz="8" w:color="0000EE"/>
              <w:bottom w:val="single" w:sz="8" w:color="CCEEFF"/>
            </w:tcBorders>
            <w:shd w:val="clear" w:color="auto" w:fill="CCEEFF"/>
          </w:tcPr>
          <w:p>
            <w:pPr>
              <w:spacing w:after="0"/>
              <w:rPr>
                <w:sz w:val="18"/>
                <w:szCs w:val="18"/>
                <w:color w:val="auto"/>
              </w:rPr>
            </w:pPr>
          </w:p>
        </w:tc>
        <w:tc>
          <w:tcPr>
            <w:tcW w:w="222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76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192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theThree Months Ended February 1, 2015 and February 2, 2014</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Quantitative and Qualitative Disclosures about Market Risk</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22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Controls and Procedures</w:t>
              </w:r>
            </w:hyperlink>
          </w:p>
        </w:tc>
        <w:tc>
          <w:tcPr>
            <w:tcW w:w="736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3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Risk Factors</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557"/>
        </w:trPr>
        <w:tc>
          <w:tcPr>
            <w:tcW w:w="20" w:type="dxa"/>
            <w:vAlign w:val="bottom"/>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720" w:type="dxa"/>
            <w:vAlign w:val="bottom"/>
            <w:tcBorders>
              <w:top w:val="single" w:sz="8" w:color="CCEEFF"/>
            </w:tcBorders>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3</w:t>
            </w:r>
          </w:p>
        </w:tc>
        <w:tc>
          <w:tcPr>
            <w:tcW w:w="17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Times New Roman" w:cs="Times New Roman" w:eastAsia="Times New Roman" w:hAnsi="Times New Roman"/>
                <w:sz w:val="14"/>
                <w:szCs w:val="14"/>
                <w:b w:val="1"/>
                <w:bCs w:val="1"/>
                <w:i w:val="1"/>
                <w:iCs w:val="1"/>
                <w:color w:val="0000EE"/>
              </w:rPr>
            </w:pPr>
            <w:hyperlink w:anchor="page3">
              <w:r>
                <w:rPr>
                  <w:rFonts w:ascii="Times New Roman" w:cs="Times New Roman" w:eastAsia="Times New Roman" w:hAnsi="Times New Roman"/>
                  <w:sz w:val="14"/>
                  <w:szCs w:val="14"/>
                  <w:b w:val="1"/>
                  <w:bCs w:val="1"/>
                  <w:i w:val="1"/>
                  <w:iCs w:val="1"/>
                  <w:color w:val="0000EE"/>
                </w:rPr>
                <w:t>Index</w:t>
              </w:r>
            </w:hyperlink>
          </w:p>
        </w:tc>
        <w:tc>
          <w:tcPr>
            <w:tcW w:w="4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0" w:type="dxa"/>
            <w:vAlign w:val="bottom"/>
          </w:tcPr>
          <w:p>
            <w:pPr>
              <w:jc w:val="center"/>
              <w:ind w:left="20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0" w:type="dxa"/>
            <w:vAlign w:val="bottom"/>
          </w:tcPr>
          <w:p>
            <w:pPr>
              <w:jc w:val="center"/>
              <w:ind w:left="20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192,929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$3,406 in 2015and $3,078 in 2014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99,183</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94,515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23,786</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22,478</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28,924</w:t>
            </w:r>
          </w:p>
        </w:tc>
        <w:tc>
          <w:tcPr>
            <w:tcW w:w="14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26,570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336,492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550,069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93,078</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93,122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29,203</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30,294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10,746</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11,036</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1,052,877</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1,029,183</w:t>
            </w: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86,495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40,865</w:t>
            </w: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139,117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131,805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18,520</w:t>
            </w:r>
          </w:p>
        </w:tc>
        <w:tc>
          <w:tcPr>
            <w:tcW w:w="14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18,767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289,689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838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66,209 shares issued and outstanding at February 1,</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2015 and65,930 shares issued and outstanding at November 2, 2014</w:t>
            </w:r>
          </w:p>
        </w:tc>
        <w:tc>
          <w:tcPr>
            <w:tcW w:w="3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w:t>
            </w:r>
          </w:p>
        </w:tc>
        <w:tc>
          <w:tcPr>
            <w:tcW w:w="14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520,182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89,272</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85,435</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628,050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110,936</w:t>
            </w:r>
          </w:p>
        </w:tc>
        <w:tc>
          <w:tcPr>
            <w:tcW w:w="14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111,444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728,045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1,052,877</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1,029,183</w:t>
            </w:r>
          </w:p>
        </w:tc>
        <w:tc>
          <w:tcPr>
            <w:tcW w:w="0" w:type="dxa"/>
            <w:vAlign w:val="bottom"/>
          </w:tcPr>
          <w:p>
            <w:pPr>
              <w:spacing w:after="0"/>
              <w:rPr>
                <w:sz w:val="1"/>
                <w:szCs w:val="1"/>
                <w:color w:val="auto"/>
              </w:rPr>
            </w:pPr>
          </w:p>
        </w:tc>
      </w:tr>
      <w:tr>
        <w:trPr>
          <w:trHeight w:val="21"/>
        </w:trPr>
        <w:tc>
          <w:tcPr>
            <w:tcW w:w="8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5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spacing w:after="0"/>
              <w:rPr>
                <w:rFonts w:ascii="Times New Roman" w:cs="Times New Roman" w:eastAsia="Times New Roman" w:hAnsi="Times New Roman"/>
                <w:sz w:val="14"/>
                <w:szCs w:val="14"/>
                <w:b w:val="1"/>
                <w:bCs w:val="1"/>
                <w:i w:val="1"/>
                <w:iCs w:val="1"/>
                <w:color w:val="0000EE"/>
              </w:rPr>
            </w:pPr>
            <w:hyperlink w:anchor="page3">
              <w:r>
                <w:rPr>
                  <w:rFonts w:ascii="Times New Roman" w:cs="Times New Roman" w:eastAsia="Times New Roman" w:hAnsi="Times New Roman"/>
                  <w:sz w:val="14"/>
                  <w:szCs w:val="14"/>
                  <w:b w:val="1"/>
                  <w:bCs w:val="1"/>
                  <w:i w:val="1"/>
                  <w:iCs w:val="1"/>
                  <w:color w:val="0000EE"/>
                </w:rPr>
                <w:t>Index</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8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123,505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66,066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480" w:type="dxa"/>
            <w:vAlign w:val="bottom"/>
            <w:gridSpan w:val="3"/>
          </w:tcPr>
          <w:p>
            <w:pPr>
              <w:spacing w:after="0"/>
              <w:rPr>
                <w:rFonts w:ascii="Times New Roman" w:cs="Times New Roman" w:eastAsia="Times New Roman" w:hAnsi="Times New Roman"/>
                <w:sz w:val="14"/>
                <w:szCs w:val="14"/>
                <w:b w:val="1"/>
                <w:bCs w:val="1"/>
                <w:i w:val="1"/>
                <w:iCs w:val="1"/>
                <w:color w:val="0000EE"/>
              </w:rPr>
            </w:pPr>
            <w:hyperlink w:anchor="page3">
              <w:r>
                <w:rPr>
                  <w:rFonts w:ascii="Times New Roman" w:cs="Times New Roman" w:eastAsia="Times New Roman" w:hAnsi="Times New Roman"/>
                  <w:sz w:val="14"/>
                  <w:szCs w:val="14"/>
                  <w:b w:val="1"/>
                  <w:bCs w:val="1"/>
                  <w:i w:val="1"/>
                  <w:iCs w:val="1"/>
                  <w:color w:val="0000EE"/>
                </w:rPr>
                <w:t>Index</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12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4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180" w:type="dxa"/>
            <w:vAlign w:val="bottom"/>
            <w:gridSpan w:val="2"/>
          </w:tcPr>
          <w:p>
            <w:pPr>
              <w:spacing w:after="0"/>
              <w:rPr>
                <w:sz w:val="21"/>
                <w:szCs w:val="21"/>
                <w:color w:val="auto"/>
              </w:rPr>
            </w:pPr>
          </w:p>
        </w:tc>
        <w:tc>
          <w:tcPr>
            <w:tcW w:w="180" w:type="dxa"/>
            <w:vAlign w:val="bottom"/>
            <w:gridSpan w:val="2"/>
          </w:tcPr>
          <w:p>
            <w:pPr>
              <w:spacing w:after="0"/>
              <w:rPr>
                <w:sz w:val="21"/>
                <w:szCs w:val="21"/>
                <w:color w:val="auto"/>
              </w:rPr>
            </w:pPr>
          </w:p>
        </w:tc>
        <w:tc>
          <w:tcPr>
            <w:tcW w:w="1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of $0: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cash flow hedge</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Photronics, Inc. shareholders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(12,342)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81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1040" w:type="dxa"/>
            <w:vAlign w:val="bottom"/>
            <w:shd w:val="clear" w:color="auto" w:fill="000000"/>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1040" w:type="dxa"/>
            <w:vAlign w:val="bottom"/>
            <w:shd w:val="clear" w:color="auto" w:fill="000000"/>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Times New Roman" w:cs="Times New Roman" w:eastAsia="Times New Roman" w:hAnsi="Times New Roman"/>
                <w:sz w:val="14"/>
                <w:szCs w:val="14"/>
                <w:b w:val="1"/>
                <w:bCs w:val="1"/>
                <w:i w:val="1"/>
                <w:iCs w:val="1"/>
                <w:color w:val="0000EE"/>
              </w:rPr>
            </w:pPr>
            <w:hyperlink w:anchor="page3">
              <w:r>
                <w:rPr>
                  <w:rFonts w:ascii="Times New Roman" w:cs="Times New Roman" w:eastAsia="Times New Roman" w:hAnsi="Times New Roman"/>
                  <w:sz w:val="14"/>
                  <w:szCs w:val="14"/>
                  <w:b w:val="1"/>
                  <w:bCs w:val="1"/>
                  <w:i w:val="1"/>
                  <w:iCs w:val="1"/>
                  <w:color w:val="0000EE"/>
                </w:rPr>
                <w:t>Index</w:t>
              </w:r>
            </w:hyperlink>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8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jc w:val="center"/>
              <w:ind w:left="279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jc w:val="center"/>
              <w:ind w:left="27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incometo net cash provided by operating activities: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(24,319)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192,929</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 for property, plant and equipment purchased during the period</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54,510</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34,335</w:t>
            </w:r>
          </w:p>
        </w:tc>
        <w:tc>
          <w:tcPr>
            <w:tcW w:w="0" w:type="dxa"/>
            <w:vAlign w:val="bottom"/>
          </w:tcPr>
          <w:p>
            <w:pPr>
              <w:spacing w:after="0"/>
              <w:rPr>
                <w:sz w:val="1"/>
                <w:szCs w:val="1"/>
                <w:color w:val="auto"/>
              </w:rPr>
            </w:pPr>
          </w:p>
        </w:tc>
      </w:tr>
      <w:tr>
        <w:trPr>
          <w:trHeight w:val="441"/>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200" w:type="dxa"/>
            <w:vAlign w:val="bottom"/>
            <w:gridSpan w:val="3"/>
          </w:tcPr>
          <w:p>
            <w:pPr>
              <w:jc w:val="center"/>
              <w:ind w:left="3139"/>
              <w:spacing w:after="0"/>
              <w:rPr>
                <w:sz w:val="20"/>
                <w:szCs w:val="20"/>
                <w:color w:val="auto"/>
              </w:rPr>
            </w:pPr>
            <w:r>
              <w:rPr>
                <w:rFonts w:ascii="Times New Roman" w:cs="Times New Roman" w:eastAsia="Times New Roman" w:hAnsi="Times New Roman"/>
                <w:sz w:val="14"/>
                <w:szCs w:val="14"/>
                <w:color w:val="auto"/>
                <w:w w:val="85"/>
              </w:rPr>
              <w:t>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PHOTRONICS,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February 1, 2015 and February 2,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47" w:lineRule="exact"/>
        <w:rPr>
          <w:sz w:val="20"/>
          <w:szCs w:val="20"/>
          <w:color w:val="auto"/>
        </w:rPr>
      </w:pPr>
    </w:p>
    <w:p>
      <w:pPr>
        <w:ind w:right="20" w:firstLine="324"/>
        <w:spacing w:after="0" w:line="249" w:lineRule="auto"/>
        <w:rPr>
          <w:sz w:val="20"/>
          <w:szCs w:val="20"/>
          <w:color w:val="auto"/>
        </w:rPr>
      </w:pPr>
      <w:r>
        <w:rPr>
          <w:rFonts w:ascii="Times New Roman" w:cs="Times New Roman" w:eastAsia="Times New Roman" w:hAnsi="Times New Roman"/>
          <w:sz w:val="21"/>
          <w:szCs w:val="21"/>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21"/>
          <w:szCs w:val="21"/>
          <w:color w:val="auto"/>
        </w:rPr>
        <w:t>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w:t>
      </w:r>
    </w:p>
    <w:p>
      <w:pPr>
        <w:spacing w:after="0" w:line="189" w:lineRule="exact"/>
        <w:rPr>
          <w:sz w:val="20"/>
          <w:szCs w:val="20"/>
          <w:color w:val="auto"/>
        </w:rPr>
      </w:pPr>
    </w:p>
    <w:p>
      <w:pPr>
        <w:ind w:right="40" w:firstLine="324"/>
        <w:spacing w:after="0" w:line="234" w:lineRule="auto"/>
        <w:rPr>
          <w:sz w:val="20"/>
          <w:szCs w:val="20"/>
          <w:color w:val="auto"/>
        </w:rPr>
      </w:pPr>
      <w:r>
        <w:rPr>
          <w:rFonts w:ascii="Times New Roman" w:cs="Times New Roman" w:eastAsia="Times New Roman" w:hAnsi="Times New Roman"/>
          <w:sz w:val="22"/>
          <w:szCs w:val="22"/>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November 1, 2015. For further information, refer to the consolidated financial statements and footnotes thereto included in the Company's Annual Report on Form 10-K for the year ended November 2, 2014.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 OF DNP PHOTOMASK TECHNOLOGY TAIWAN CO., LTD.</w:t>
      </w:r>
    </w:p>
    <w:p>
      <w:pPr>
        <w:spacing w:after="0" w:line="247"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22"/>
          <w:szCs w:val="22"/>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$98.3 million. The Company owns 50.01 percent of PDMC and includes its financial results in its consolidated financial statements, while DNP owns the remaining 49.99 percent of PDMC. The Company also has the ability to appoint the majority of the directors of PDMC, including the chairman of its board of directors, select its management responsible for implementing its policies and procedures, and establish its operating and capital decisions and policies. Photronics determined it has control of PDMC by virtue of its tie-breaking voting rights within PDMC’s Board of Directors, thereby giving it the power to direct the activities of PDMC that most significantly impact its economic performance, including its decision making authority in the ordinary course of business. The DPTT Acquisition was the result of the Company’s desire to combine the strengths in logic and memory photomask technologies of PSMC and DPTT in order to enhance its capability with customers in the region.</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The DPTT Acquisition met the conditions of a business combination as defined by Accounting Standards Codification (“ASC”)</w:t>
      </w:r>
    </w:p>
    <w:p>
      <w:pPr>
        <w:spacing w:after="0" w:line="26"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805 and, as such, is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combination.</w:t>
      </w:r>
    </w:p>
    <w:p>
      <w:pPr>
        <w:sectPr>
          <w:pgSz w:w="11900" w:h="16838" w:orient="portrait"/>
          <w:cols w:equalWidth="0" w:num="1">
            <w:col w:w="11400"/>
          </w:cols>
          <w:pgMar w:left="240" w:top="114" w:right="25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type w:val="continuous"/>
        </w:sectPr>
      </w:pPr>
    </w:p>
    <w:bookmarkStart w:id="8" w:name="page9"/>
    <w:bookmarkEnd w:id="8"/>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7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provisional fair values of assets acquired and liabilities assumed of DPTT, the fair value of the noncontrolling interests and consideration for DPTT at the acquisition date. These provisional amounts could change as a result of the ultimate realization of the acquired net working capital.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(gross amount of $28,560, of which $500 is estimated  to be uncollectable)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retained by DNP</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 49.99% of fair value of PSMC</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22"/>
          <w:szCs w:val="22"/>
          <w:color w:val="auto"/>
        </w:rPr>
        <w:t>In addition to recording the fair values of the net assets acquired, the Company also recorded a gain on acquisition of $16.4 million in the three month period ended May 4, 2014,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206" w:lineRule="exact"/>
        <w:rPr>
          <w:sz w:val="20"/>
          <w:szCs w:val="20"/>
          <w:color w:val="auto"/>
        </w:rPr>
      </w:pPr>
    </w:p>
    <w:p>
      <w:pPr>
        <w:ind w:firstLine="324"/>
        <w:spacing w:after="0" w:line="235" w:lineRule="auto"/>
        <w:rPr>
          <w:sz w:val="20"/>
          <w:szCs w:val="20"/>
          <w:color w:val="auto"/>
        </w:rPr>
      </w:pPr>
      <w:r>
        <w:rPr>
          <w:rFonts w:ascii="Times New Roman" w:cs="Times New Roman" w:eastAsia="Times New Roman" w:hAnsi="Times New Roman"/>
          <w:sz w:val="22"/>
          <w:szCs w:val="22"/>
          <w:color w:val="auto"/>
        </w:rPr>
        <w:t>The fair value of the first component of consideration represents 49.99 percent of the fair value of PSMC, and is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resulting in a gain of $16.4 million. The fair value of the total consideration transferred as of the acquisition date was $98.3 million, comprised of the 49.99% noncontrolling interest in DPTT of $57.3 million, and 49.99% of the fair value of PSMC of $41.0 million (112.9 million shares, or 49.99% of the outstanding Common Stock of PSMC).</w:t>
      </w:r>
    </w:p>
    <w:p>
      <w:pPr>
        <w:spacing w:after="0" w:line="211"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22"/>
          <w:szCs w:val="22"/>
          <w:color w:val="auto"/>
        </w:rPr>
        <w:t>We estimated the $114.7 million fair value of DPTT as of the acquisition date by applying an income approach as our valuation technique. Our income approach followed a discounted cash flow method, which applied our best estimates of future cash flows and an estimated terminal value discounted to present value at a rate of return taking into account the relative risk of the cash flows. To confirm the reasonableness of the value derived from the income approach, we also analyzed the values of comparable companies which are publicly traded. The acquisition date fair value of the property, plant and equipment of DPTT was $95.4 million, which was determined by utilizing the cost and, to a lesser extent, the market approach, based on an in-use premise of value. Inputs utilized by the Company to determine fair values of DPTT’s property, plant and equipment included a cost approach, which was adjusted for depreciation and condition for equipment, and adjusted for depreciation and local market conditions for real property. The noncontrolling interest of DPTT was calculated using the 49.99% of its total fair value of $114.7 million. The Company also used a market approach to corroborate the enterprise value of DPTT. This fair value measurement is based on significant inputs that are not observable in the market and thus represents a fair value measurement categorized within Level 3 of the fair value hierarchy. Key assumptions include local and current construction replacement cost multipliers, amounts of ancillary replacement costs, physical deterioration, and economic and functional obsolescence to adjust the current replacement costs by, as well as the estimated economic lives of the assets.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9" w:name="page10"/>
    <w:bookmarkEnd w:id="9"/>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Identifiable intangible assets acquired were primarily customer relationships, which represent the fair value of relationships and agreements DPTT had in place at the date of the merger. The customer relationships had a fair value of $1.5 million at the acquisition date, determined by using the multi-period excess earnings method, and are amortized over a twelve year estimated useful life. The acquisition date fair value of the remainder of the identifiable assets acquired and liabilities assumed were equivalent to, or did not materially differ from, their carrying values</w:t>
      </w:r>
    </w:p>
    <w:p>
      <w:pPr>
        <w:spacing w:after="0" w:line="19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22"/>
          <w:szCs w:val="22"/>
          <w:color w:val="auto"/>
        </w:rPr>
        <w:t>Acquisition costs related to the merger were $0.4 million for the three month period ended February 2, 2014 and are included in selling, general and administrative expense in the condensed consolidated statements of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CHANGES IN EQUITY</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following tables set forth the Company's consolidated changes in equity for the three months ended February 1, 2015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 2014: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9"/>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February 1, 2015</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November 2,</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520,182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111,444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(16,179)</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through employee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 and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and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February 1,</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66,209</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521,580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110,936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February 2, 2014</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9"/>
                <w:szCs w:val="9"/>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conrolling</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November 3,</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498,861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(8,412)</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through employee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 and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expense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Redemption of common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by subsidiary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February 2,</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500,409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581,204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1">
            <w:col w:w="11420"/>
          </w:cols>
          <w:pgMar w:left="240" w:top="114" w:right="239" w:bottom="600" w:gutter="0" w:footer="0" w:header="0"/>
        </w:sect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600" w:gutter="0" w:footer="0" w:header="0"/>
          <w:type w:val="continuous"/>
        </w:sectPr>
      </w:pPr>
    </w:p>
    <w:bookmarkStart w:id="10" w:name="page11"/>
    <w:bookmarkEnd w:id="10"/>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Property, plant and equipment consists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1,614,678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1,055,105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593,020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Equipment under capital leases are included in above property, plant and equipment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22"/>
          <w:szCs w:val="22"/>
          <w:color w:val="auto"/>
        </w:rPr>
        <w:t>Depreciation and amortization expense for property, plant and equipment was $19.2 million and $16.0 million for the three month periods ended February 1, 2015 and February 2, 2014, respectively.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JOINT VENTURE, TECHNOLOGY LICENSE AND OTHER AGREEMENTS WITH MICRON TECHNOLOGY, INC.</w:t>
      </w:r>
    </w:p>
    <w:p>
      <w:pPr>
        <w:spacing w:after="0" w:line="247"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22"/>
          <w:szCs w:val="22"/>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right="60" w:firstLine="324"/>
        <w:spacing w:after="0" w:line="234" w:lineRule="auto"/>
        <w:rPr>
          <w:sz w:val="20"/>
          <w:szCs w:val="20"/>
          <w:color w:val="auto"/>
        </w:rPr>
      </w:pPr>
      <w:r>
        <w:rPr>
          <w:rFonts w:ascii="Times New Roman" w:cs="Times New Roman" w:eastAsia="Times New Roman" w:hAnsi="Times New Roman"/>
          <w:sz w:val="22"/>
          <w:szCs w:val="22"/>
          <w:color w:val="auto"/>
        </w:rPr>
        <w:t>This joint venture is a variable interest entity ("VIE") (as that term is defined in the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2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$1.3 million and $1.0 million during the three month periods ended February 1, 2015 and February 2, 2014, respectively, and research and development expenses of $0.2 million during the three month periods ended February 1, 2015 and February 2, 2014. As of February 1, 2015 and November 2, 2014, the Company owed MP Mask $4.1 million and $4.2 million, respectively, and had a receivable from Micron of $7.6 million and $6.8 million, respectively, both primarily related to the aforementioned supply agreements.</w:t>
      </w:r>
    </w:p>
    <w:p>
      <w:pPr>
        <w:sectPr>
          <w:pgSz w:w="11900" w:h="16838" w:orient="portrait"/>
          <w:cols w:equalWidth="0" w:num="1">
            <w:col w:w="11420"/>
          </w:cols>
          <w:pgMar w:left="240" w:top="114"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7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206" w:lineRule="exact"/>
        <w:rPr>
          <w:sz w:val="20"/>
          <w:szCs w:val="20"/>
          <w:color w:val="auto"/>
        </w:rPr>
      </w:pPr>
    </w:p>
    <w:p>
      <w:pPr>
        <w:ind w:right="120" w:firstLine="324"/>
        <w:spacing w:after="0" w:line="238" w:lineRule="auto"/>
        <w:rPr>
          <w:sz w:val="20"/>
          <w:szCs w:val="20"/>
          <w:color w:val="auto"/>
        </w:rPr>
      </w:pPr>
      <w:r>
        <w:rPr>
          <w:rFonts w:ascii="Times New Roman" w:cs="Times New Roman" w:eastAsia="Times New Roman" w:hAnsi="Times New Roman"/>
          <w:sz w:val="22"/>
          <w:szCs w:val="22"/>
          <w:color w:val="auto"/>
        </w:rPr>
        <w:t>The Company's investment in the VIE, which represents its maximum exposure to loss, was $93.1 million at February 1, 2015 and November 2, 2014. This amount is reported in the Company's condensed consolidated balance sheets as "Investment in joint venture". The Company recorded no income or loss from its investment in the three month periods ended February 1, 2015 and February 2, 2014. Income or loss from the VIE is included in "Interest and other income (expense), net" in the condensed consolidated statements of income.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BORROWINGS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Long-term borrowings consist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2.77% capital lease obligation payable through July 2018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3.09% capital lease obligation payable through March 2016</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80" w:firstLine="324"/>
        <w:spacing w:after="0" w:line="234" w:lineRule="auto"/>
        <w:rPr>
          <w:sz w:val="20"/>
          <w:szCs w:val="20"/>
          <w:color w:val="auto"/>
        </w:rPr>
      </w:pPr>
      <w:r>
        <w:rPr>
          <w:rFonts w:ascii="Times New Roman" w:cs="Times New Roman" w:eastAsia="Times New Roman" w:hAnsi="Times New Roman"/>
          <w:sz w:val="22"/>
          <w:szCs w:val="22"/>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9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Company’s credit facility, which was last amended in August 2014,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February 1, 2015. The Company had no outstanding borrowings against the credit facility at February 1, 2015, and $50 million was available for borrowing. The interest rate on the credit facility (1.69% at February 1, 2015) is based on the Company’s total leverage ratio at LIBOR plus a spread, as defined in the credit facility.</w:t>
      </w:r>
    </w:p>
    <w:p>
      <w:pPr>
        <w:spacing w:after="0" w:line="18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February 1, 2015, the total amount payable through the end of the lease term was $20.2 million, of which $19.2 million represented principal and $1.0 million represented interest.</w:t>
      </w:r>
    </w:p>
    <w:p>
      <w:pPr>
        <w:spacing w:after="0" w:line="18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February 1, 2015, the total amount payable through the end of the lease term was $5.7 million, of which $5.6 million represented principal and $0.1 million represented interest.</w:t>
      </w:r>
    </w:p>
    <w:p>
      <w:pPr>
        <w:sectPr>
          <w:pgSz w:w="11900" w:h="16838" w:orient="portrait"/>
          <w:cols w:equalWidth="0" w:num="1">
            <w:col w:w="11380"/>
          </w:cols>
          <w:pgMar w:left="240" w:top="114" w:right="279"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47" w:lineRule="exact"/>
        <w:rPr>
          <w:sz w:val="20"/>
          <w:szCs w:val="20"/>
          <w:color w:val="auto"/>
        </w:rPr>
      </w:pPr>
    </w:p>
    <w:p>
      <w:pPr>
        <w:ind w:right="20" w:firstLine="324"/>
        <w:spacing w:after="0" w:line="234" w:lineRule="auto"/>
        <w:rPr>
          <w:sz w:val="20"/>
          <w:szCs w:val="20"/>
          <w:color w:val="auto"/>
        </w:rPr>
      </w:pPr>
      <w:r>
        <w:rPr>
          <w:rFonts w:ascii="Times New Roman" w:cs="Times New Roman" w:eastAsia="Times New Roman" w:hAnsi="Times New Roman"/>
          <w:sz w:val="22"/>
          <w:szCs w:val="22"/>
          <w:color w:val="auto"/>
        </w:rPr>
        <w:t>The Company has a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to nine million shares during fiscal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expenses of $0.9 million and $1.1 million for the three month periods ended February 1, 2015 and February 2, 2014, respectively. No share-based compensation cost was capitalized as part of an asset and no related income tax benefits were recorded during the fiscal years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47"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22"/>
          <w:szCs w:val="22"/>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11" w:lineRule="exact"/>
        <w:rPr>
          <w:sz w:val="20"/>
          <w:szCs w:val="20"/>
          <w:color w:val="auto"/>
        </w:rPr>
      </w:pPr>
    </w:p>
    <w:p>
      <w:pPr>
        <w:ind w:right="500" w:firstLine="324"/>
        <w:spacing w:after="0" w:line="258" w:lineRule="auto"/>
        <w:rPr>
          <w:sz w:val="20"/>
          <w:szCs w:val="20"/>
          <w:color w:val="auto"/>
        </w:rPr>
      </w:pPr>
      <w:r>
        <w:rPr>
          <w:rFonts w:ascii="Times New Roman" w:cs="Times New Roman" w:eastAsia="Times New Roman" w:hAnsi="Times New Roman"/>
          <w:sz w:val="22"/>
          <w:szCs w:val="22"/>
          <w:color w:val="auto"/>
        </w:rPr>
        <w:t>The weighted-average inputs and risk-free rate of return ranges used to calculate the grant date fair value of options issued during the three month periods ended February 1, 2015 and February 2, 2014, are presented in the following table.</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245"/>
        </w:trPr>
        <w:tc>
          <w:tcPr>
            <w:tcW w:w="6420" w:type="dxa"/>
            <w:vAlign w:val="bottom"/>
          </w:tcPr>
          <w:p>
            <w:pPr>
              <w:spacing w:after="0"/>
              <w:rPr>
                <w:sz w:val="21"/>
                <w:szCs w:val="21"/>
                <w:color w:val="auto"/>
              </w:rPr>
            </w:pPr>
          </w:p>
        </w:tc>
        <w:tc>
          <w:tcPr>
            <w:tcW w:w="27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642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16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80" w:type="dxa"/>
            <w:vAlign w:val="bottom"/>
          </w:tcPr>
          <w:p>
            <w:pPr>
              <w:spacing w:after="0"/>
              <w:rPr>
                <w:sz w:val="16"/>
                <w:szCs w:val="16"/>
                <w:color w:val="auto"/>
              </w:rPr>
            </w:pPr>
          </w:p>
        </w:tc>
      </w:tr>
      <w:tr>
        <w:trPr>
          <w:trHeight w:val="245"/>
        </w:trPr>
        <w:tc>
          <w:tcPr>
            <w:tcW w:w="642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1"/>
                <w:szCs w:val="21"/>
                <w:color w:val="auto"/>
              </w:rPr>
            </w:pPr>
          </w:p>
        </w:tc>
      </w:tr>
      <w:tr>
        <w:trPr>
          <w:trHeight w:val="216"/>
        </w:trPr>
        <w:tc>
          <w:tcPr>
            <w:tcW w:w="64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6420" w:type="dxa"/>
            <w:vAlign w:val="bottom"/>
            <w:shd w:val="clear" w:color="auto" w:fill="CCEEFF"/>
          </w:tcPr>
          <w:p>
            <w:pPr>
              <w:jc w:val="right"/>
              <w:ind w:right="2950"/>
              <w:spacing w:after="0"/>
              <w:rPr>
                <w:sz w:val="20"/>
                <w:szCs w:val="20"/>
                <w:color w:val="auto"/>
              </w:rPr>
            </w:pPr>
            <w:r>
              <w:rPr>
                <w:rFonts w:ascii="Times New Roman" w:cs="Times New Roman" w:eastAsia="Times New Roman" w:hAnsi="Times New Roman"/>
                <w:sz w:val="18"/>
                <w:szCs w:val="18"/>
                <w:color w:val="auto"/>
              </w:rPr>
              <w:t>Volatility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64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6420" w:type="dxa"/>
            <w:vAlign w:val="bottom"/>
            <w:shd w:val="clear" w:color="auto" w:fill="CCEEFF"/>
          </w:tcPr>
          <w:p>
            <w:pPr>
              <w:jc w:val="right"/>
              <w:ind w:right="2950"/>
              <w:spacing w:after="0"/>
              <w:rPr>
                <w:sz w:val="20"/>
                <w:szCs w:val="20"/>
                <w:color w:val="auto"/>
              </w:rPr>
            </w:pPr>
            <w:r>
              <w:rPr>
                <w:rFonts w:ascii="Times New Roman" w:cs="Times New Roman" w:eastAsia="Times New Roman" w:hAnsi="Times New Roman"/>
                <w:sz w:val="18"/>
                <w:szCs w:val="18"/>
                <w:color w:val="auto"/>
              </w:rPr>
              <w:t>Risk free rate of return</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4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6420" w:type="dxa"/>
            <w:vAlign w:val="bottom"/>
            <w:shd w:val="clear" w:color="auto" w:fill="CCEEFF"/>
          </w:tcPr>
          <w:p>
            <w:pPr>
              <w:jc w:val="right"/>
              <w:ind w:right="295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4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6420" w:type="dxa"/>
            <w:vAlign w:val="bottom"/>
            <w:shd w:val="clear" w:color="auto" w:fill="CCEEFF"/>
          </w:tcPr>
          <w:p>
            <w:pPr>
              <w:jc w:val="right"/>
              <w:ind w:right="2950"/>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 years</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 years</w:t>
            </w: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Information on outstanding and exercisable option awards as of February 1, 2015, is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5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1, 2015</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3,821,006</w:t>
            </w:r>
          </w:p>
        </w:tc>
        <w:tc>
          <w:tcPr>
            <w:tcW w:w="166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17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6.3 years</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66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February 1, 2015</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2,527,303</w:t>
            </w:r>
          </w:p>
        </w:tc>
        <w:tc>
          <w:tcPr>
            <w:tcW w:w="166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17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5.2 years</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60" w:type="dxa"/>
            <w:vAlign w:val="bottom"/>
            <w:gridSpan w:val="2"/>
          </w:tcPr>
          <w:p>
            <w:pPr>
              <w:jc w:val="right"/>
              <w:ind w:right="1290"/>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7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There were 302,000 share options granted during the three month period ended February 1, 2015, with a weighted-average grant date fair value of $3.88 per share, and there were 612,500 share options granted during the three month period ended February 2, 2014, with a weighted-average grant date fair value of $4.45 per share. As of February 1, 2015, the total unrecognized compensation cost related to unvested option awards was approximately $4.4 million. That cost is expected to be recognized over a weighted-average amortization period of 2.5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47" w:lineRule="exact"/>
        <w:rPr>
          <w:sz w:val="20"/>
          <w:szCs w:val="20"/>
          <w:color w:val="auto"/>
        </w:rPr>
      </w:pPr>
    </w:p>
    <w:p>
      <w:pPr>
        <w:ind w:right="20" w:firstLine="324"/>
        <w:spacing w:after="0" w:line="235" w:lineRule="auto"/>
        <w:rPr>
          <w:sz w:val="20"/>
          <w:szCs w:val="20"/>
          <w:color w:val="auto"/>
        </w:rPr>
      </w:pPr>
      <w:r>
        <w:rPr>
          <w:rFonts w:ascii="Times New Roman" w:cs="Times New Roman" w:eastAsia="Times New Roman" w:hAnsi="Times New Roman"/>
          <w:sz w:val="22"/>
          <w:szCs w:val="22"/>
          <w:color w:val="auto"/>
        </w:rPr>
        <w:t>The Company periodically grants restricted stock awards. The restrictions on these awards typically lapse over a service period of one to four years. There were 111,334 restricted stock awards issued during the three month period ended February 1, 2015, with a weighted-average grant date fair value of $8.23 per share, and there were 111,667 restricted stock awards issued during the three month period ended February 2, 2014, with a weighted-average grant date fair value of $8.86 per share. As of February 1, 2015, the total compensation cost not yet recognized related to unvested restricted stock awards was approximately $1.5 million. That cost is expected to be recognized over a weighted-average amortization period of 2.2 years. As of February 1, 2015, there were 234,026 shares of restricted stock outstanding.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47" w:lineRule="exact"/>
        <w:rPr>
          <w:sz w:val="20"/>
          <w:szCs w:val="20"/>
          <w:color w:val="auto"/>
        </w:rPr>
      </w:pPr>
    </w:p>
    <w:p>
      <w:pPr>
        <w:ind w:right="160" w:firstLine="324"/>
        <w:spacing w:after="0" w:line="239" w:lineRule="auto"/>
        <w:rPr>
          <w:sz w:val="20"/>
          <w:szCs w:val="20"/>
          <w:color w:val="auto"/>
        </w:rPr>
      </w:pPr>
      <w:r>
        <w:rPr>
          <w:rFonts w:ascii="Times New Roman" w:cs="Times New Roman" w:eastAsia="Times New Roman" w:hAnsi="Times New Roman"/>
          <w:sz w:val="22"/>
          <w:szCs w:val="22"/>
          <w:color w:val="auto"/>
        </w:rPr>
        <w:t>The effective tax rate differs from the U.S. statutory rate of 35% in the three month periods ended February 1, 2015 and February 2, 2014, primarily due to earnings being taxed at lower statutory rates in foreign jurisdictions, combined with the benefit of various investment credits in a foreign jurisdiction. Valuation allowances in jurisdictions with historic losses eliminate the effective rate impact of these jurisdictions.</w:t>
      </w:r>
    </w:p>
    <w:p>
      <w:pPr>
        <w:spacing w:after="0" w:line="208"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22"/>
          <w:szCs w:val="22"/>
          <w:color w:val="auto"/>
        </w:rPr>
        <w:t>Unrecognized tax benefits related to uncertain tax positions were $5.2 million at February 1, 2015 and $5.1 million at November 2, 2014, of which $5.1 million and $5.0 million, respectively, would favorably impact the Company's effective tax rate if recognized. Accrued interest and penalties related to unrecognized tax benefits was $0.1 million at February 1, 2015 and November 2, 2014. As of February 1, 2015, the total amount of unrecognized tax benefits is not expected to significantly increase or decrease in the next twelve months.</w:t>
      </w:r>
    </w:p>
    <w:p>
      <w:pPr>
        <w:spacing w:after="0" w:line="204" w:lineRule="exact"/>
        <w:rPr>
          <w:sz w:val="20"/>
          <w:szCs w:val="20"/>
          <w:color w:val="auto"/>
        </w:rPr>
      </w:pPr>
    </w:p>
    <w:p>
      <w:pPr>
        <w:ind w:right="180" w:firstLine="324"/>
        <w:spacing w:after="0" w:line="236" w:lineRule="auto"/>
        <w:rPr>
          <w:sz w:val="20"/>
          <w:szCs w:val="20"/>
          <w:color w:val="auto"/>
        </w:rPr>
      </w:pPr>
      <w:r>
        <w:rPr>
          <w:rFonts w:ascii="Times New Roman" w:cs="Times New Roman" w:eastAsia="Times New Roman" w:hAnsi="Times New Roman"/>
          <w:sz w:val="22"/>
          <w:szCs w:val="22"/>
          <w:color w:val="auto"/>
        </w:rPr>
        <w:t>PKLT, the Company's FPD manufacturing facility in Taiwan, has been accorded a tax holiday, which started in 2012 and expires in 2017. The PKLT tax holiday had no dollar or per share effect in the three month periods ended February 1, 2015 and February 2, 2014. PDMC, as a result of the DPTT Acquisition, acquired an IC manufacturing facility in Taiwan that has been accorded a tax holiday which commenced in 2015 and expires in 2019. The Company realized a $0.1 million tax benefit from this tax holiday during the three month period ended February 1, 2015. The tax holiday had no per share effect in the three month periods ended February 1, 2015 and February 2, 2014.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calculation of basic and diluted earnings per share is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for diluted earnings per share</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9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ectPr>
          <w:pgSz w:w="11900" w:h="16838" w:orient="portrait"/>
          <w:cols w:equalWidth="0" w:num="1">
            <w:col w:w="11420"/>
          </w:cols>
          <w:pgMar w:left="240" w:top="114" w:right="239" w:bottom="978" w:gutter="0" w:footer="0" w:header="0"/>
        </w:sect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978" w:gutter="0" w:footer="0" w:header="0"/>
          <w:type w:val="continuous"/>
        </w:sectPr>
      </w:pPr>
    </w:p>
    <w:bookmarkStart w:id="14" w:name="page15"/>
    <w:bookmarkEnd w:id="14"/>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3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6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360" w:type="dxa"/>
            <w:vAlign w:val="bottom"/>
            <w:tcBorders>
              <w:top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1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22"/>
          <w:szCs w:val="22"/>
          <w:color w:val="auto"/>
        </w:rPr>
        <w:t>In the second quarter of fiscal year 2015, the Company awarded approximately 0.3 million share-based payment awards to its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CHANGES IN ACCUMULATED OTHER COMPREHENSIVE INCOME BY COMPONENT</w:t>
      </w:r>
    </w:p>
    <w:p>
      <w:pPr>
        <w:spacing w:after="0" w:line="25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income by component (net of tax of $0) for the three month periods ended February 1, 2015 and February 2,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February 1, 2015</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5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28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Flow Hedge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 2014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(20,106)</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1, 2015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5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rFonts w:ascii="Times New Roman" w:cs="Times New Roman" w:eastAsia="Times New Roman" w:hAnsi="Times New Roman"/>
                <w:sz w:val="14"/>
                <w:szCs w:val="14"/>
                <w:b w:val="1"/>
                <w:bCs w:val="1"/>
                <w:i w:val="1"/>
                <w:iCs w:val="1"/>
                <w:color w:val="0000EE"/>
              </w:rPr>
            </w:pPr>
            <w:hyperlink w:anchor="page3">
              <w:r>
                <w:rPr>
                  <w:rFonts w:ascii="Times New Roman" w:cs="Times New Roman" w:eastAsia="Times New Roman" w:hAnsi="Times New Roman"/>
                  <w:sz w:val="14"/>
                  <w:szCs w:val="14"/>
                  <w:b w:val="1"/>
                  <w:bCs w:val="1"/>
                  <w:i w:val="1"/>
                  <w:iCs w:val="1"/>
                  <w:color w:val="0000EE"/>
                </w:rPr>
                <w:t>Index</w:t>
              </w:r>
            </w:hyperlink>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February 2, 2014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13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 2013</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27,797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loss attributable to noncontrolling interests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common stock of subsidiary</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2014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40" w:firstLine="324"/>
        <w:spacing w:after="0" w:line="238" w:lineRule="auto"/>
        <w:rPr>
          <w:sz w:val="20"/>
          <w:szCs w:val="20"/>
          <w:color w:val="auto"/>
        </w:rPr>
      </w:pPr>
      <w:r>
        <w:rPr>
          <w:rFonts w:ascii="Times New Roman" w:cs="Times New Roman" w:eastAsia="Times New Roman" w:hAnsi="Times New Roman"/>
          <w:sz w:val="22"/>
          <w:szCs w:val="22"/>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20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22"/>
          <w:szCs w:val="22"/>
          <w:color w:val="auto"/>
        </w:rPr>
        <w:t>The Company did not have any assets or liabilities measured at fair value, on a recurring or a nonrecurring basis, at February 1, 2015 or November 2, 2014.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Instruments</w:t>
      </w:r>
    </w:p>
    <w:p>
      <w:pPr>
        <w:spacing w:after="0" w:line="245" w:lineRule="exact"/>
        <w:rPr>
          <w:sz w:val="20"/>
          <w:szCs w:val="20"/>
          <w:color w:val="auto"/>
        </w:rPr>
      </w:pPr>
    </w:p>
    <w:p>
      <w:pPr>
        <w:ind w:right="80" w:firstLine="324"/>
        <w:spacing w:after="0" w:line="238" w:lineRule="auto"/>
        <w:rPr>
          <w:sz w:val="20"/>
          <w:szCs w:val="20"/>
          <w:color w:val="auto"/>
        </w:rPr>
      </w:pPr>
      <w:r>
        <w:rPr>
          <w:rFonts w:ascii="Times New Roman" w:cs="Times New Roman" w:eastAsia="Times New Roman" w:hAnsi="Times New Roman"/>
          <w:sz w:val="22"/>
          <w:szCs w:val="22"/>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that is determined using recent bid prices. The table below presents the fair and carrying values of the Company's convertible senior notes at February 1, 2015 and November 2, 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February 1, 2015</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November 2,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2016</w:t>
            </w: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59,978</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122,544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3.25% convertible senior notes due 2019</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60,479</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4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SUBSIDIARY SHARE REPURCHASE</w:t>
      </w:r>
    </w:p>
    <w:p>
      <w:pPr>
        <w:spacing w:after="0" w:line="247" w:lineRule="exact"/>
        <w:rPr>
          <w:sz w:val="20"/>
          <w:szCs w:val="20"/>
          <w:color w:val="auto"/>
        </w:rPr>
      </w:pPr>
    </w:p>
    <w:p>
      <w:pPr>
        <w:ind w:right="40" w:firstLine="324"/>
        <w:spacing w:after="0" w:line="244" w:lineRule="auto"/>
        <w:rPr>
          <w:sz w:val="20"/>
          <w:szCs w:val="20"/>
          <w:color w:val="auto"/>
        </w:rPr>
      </w:pPr>
      <w:r>
        <w:rPr>
          <w:rFonts w:ascii="Times New Roman" w:cs="Times New Roman" w:eastAsia="Times New Roman" w:hAnsi="Times New Roman"/>
          <w:sz w:val="22"/>
          <w:szCs w:val="22"/>
          <w:color w:val="auto"/>
        </w:rPr>
        <w:t>In January 2014 the Company increased its ownership percentage in PSMC (in 2014 PSMC’s name was changed to PDMC, see Note 2) from 98.63% to 100% at a cost of $1.7 million for the then remaining 3.0 million shares that were not owned by the Company.</w:t>
      </w:r>
    </w:p>
    <w:p>
      <w:pPr>
        <w:spacing w:after="0" w:line="201"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22"/>
          <w:szCs w:val="22"/>
          <w:color w:val="auto"/>
        </w:rPr>
        <w:t>The table below presents the effect of the change in the Company's ownership interest in PDMC on the Company's equity for the three month period ended February 2,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1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Photronics, Inc.'s additional paid-in capital</w:t>
            </w: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Photronics, Inc. shareholders’ accumulated other comprehensive income</w:t>
            </w:r>
          </w:p>
        </w:tc>
        <w:tc>
          <w:tcPr>
            <w:tcW w:w="2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from net income attributable to Photronics, Inc. shareholders and transfer from</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 COMMITMENTS AND CONTINGENCIES</w:t>
      </w:r>
    </w:p>
    <w:p>
      <w:pPr>
        <w:spacing w:after="0" w:line="23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22"/>
          <w:szCs w:val="22"/>
          <w:color w:val="auto"/>
        </w:rPr>
        <w:t>As of February 1, 2015, the Company had commitments outstanding for capital equipment expenditures of approximately $16 million.</w:t>
      </w:r>
    </w:p>
    <w:p>
      <w:pPr>
        <w:spacing w:after="0" w:line="185"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22"/>
          <w:szCs w:val="22"/>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RECENT ACCOUNTING PRONOUNCEMENTS</w:t>
      </w:r>
    </w:p>
    <w:p>
      <w:pPr>
        <w:spacing w:after="0" w:line="247"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21"/>
          <w:szCs w:val="21"/>
          <w:color w:val="auto"/>
        </w:rPr>
        <w:t>In May 2014 the Financial Accounting Standards Board ("FASB") issued Accounting Standard Update ("ASU") 2014-09 – Revenue from Contracts with Customers, which will supersede nearly all existing revenue recognition guidance under U.S. GAAP.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This ASU will be effective for the Company in its first quarter of fiscal 2018. Early adoption is not permitted. The ASU allows for either full retrospective or modified retrospective adoption. The Company is evaluating the transition method that will be elected and the potential effects of the adoption of this ASU on its financial statements.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2014 year), that may cause actual results to materially differ from these expectations.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11" w:lineRule="exact"/>
        <w:rPr>
          <w:sz w:val="20"/>
          <w:szCs w:val="20"/>
          <w:color w:val="auto"/>
        </w:rPr>
      </w:pPr>
    </w:p>
    <w:p>
      <w:pPr>
        <w:ind w:right="60" w:firstLine="324"/>
        <w:spacing w:after="0" w:line="234" w:lineRule="auto"/>
        <w:rPr>
          <w:sz w:val="20"/>
          <w:szCs w:val="20"/>
          <w:color w:val="auto"/>
        </w:rPr>
      </w:pPr>
      <w:r>
        <w:rPr>
          <w:rFonts w:ascii="Times New Roman" w:cs="Times New Roman" w:eastAsia="Times New Roman" w:hAnsi="Times New Roman"/>
          <w:sz w:val="22"/>
          <w:szCs w:val="22"/>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as they occur.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February 1, 2015 and February 2, 2014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following table represents selected operating information expressed as a percentage of net sales.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270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1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22"/>
          <w:szCs w:val="22"/>
          <w:color w:val="auto"/>
        </w:rPr>
        <w:t>Note: All of the following tabular comparisons, unless otherwise indicated, are for the three months ended February 1, 2015 (Q1-15) and February 2, 2014 (Q1-14) in millions of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Q1-15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Q1-14</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FPD</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Net sales for Q1-15 increased 21.6% to $123.5 million as compared to $101.5 million for Q1-14. The increase was primarily the result of increased high-end IC sales in Taiwan, which was partially offset by lower mainstream FPD sales. Revenues attributable to high-end products increased by $19.5 million to $51.7 million in Q1-15 as compared to $32.2 million in Q1-14. High-end photomask applications, which typically have higher ASPs, include mask sets for 45 nanometer and below for IC products, and G8 and above and active matrix organic light-emitting diode (AMOLED) display screen technologies for FPD products. By geographic area, net sales in Q1-15 as compared to Q1-14 increased (decreased) by $22.6 million or 77.5 % to $51.8 million in Taiwan, $(1.2) million or 3.3 % to $35.6 million in Korea, $1.9 million or 7.4% to $27.0 million in the United States and $(1.3) million or 13.6% to $8.5 million in Europe.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21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Q1-15</w:t>
            </w:r>
          </w:p>
        </w:tc>
        <w:tc>
          <w:tcPr>
            <w:tcW w:w="3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Q1-14</w:t>
            </w:r>
          </w:p>
        </w:tc>
        <w:tc>
          <w:tcPr>
            <w:tcW w:w="3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28.2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22.9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0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22.8%</w:t>
            </w:r>
          </w:p>
        </w:tc>
        <w:tc>
          <w:tcPr>
            <w:tcW w:w="80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22.5%</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21"/>
          <w:szCs w:val="21"/>
          <w:color w:val="auto"/>
        </w:rPr>
        <w:t>Gross margin percentage increased to 22.8% in Q1-15 as compared to 22.5% in Q1-14. This increase was primarily due to the favorable impact of increased high-end revenue. The Company operates in a high fixed cost environment and, to the extent that the Company's revenues and utilization increase or decrease, gross margin will generally be positively or negatively impacted.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Q1-15</w:t>
            </w:r>
          </w:p>
        </w:tc>
        <w:tc>
          <w:tcPr>
            <w:tcW w:w="3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Q1-14</w:t>
            </w:r>
          </w:p>
        </w:tc>
        <w:tc>
          <w:tcPr>
            <w:tcW w:w="3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12.3</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7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22"/>
          <w:szCs w:val="22"/>
          <w:color w:val="auto"/>
        </w:rPr>
        <w:t>Selling, general and administrative expenses decreased $0.4 million to $11.9 million in Q1-15 as compared to $12.3 million in Q1-14. This decrease was primarily due to transaction expenses incurred in Q1-14 related to the acquisition of DPTT.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Q1-15</w:t>
            </w:r>
          </w:p>
        </w:tc>
        <w:tc>
          <w:tcPr>
            <w:tcW w:w="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Q1-14</w:t>
            </w:r>
          </w:p>
        </w:tc>
        <w:tc>
          <w:tcPr>
            <w:tcW w:w="2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120" w:firstLine="324"/>
        <w:spacing w:after="0" w:line="262" w:lineRule="auto"/>
        <w:rPr>
          <w:sz w:val="20"/>
          <w:szCs w:val="20"/>
          <w:color w:val="auto"/>
        </w:rPr>
      </w:pPr>
      <w:r>
        <w:rPr>
          <w:rFonts w:ascii="Times New Roman" w:cs="Times New Roman" w:eastAsia="Times New Roman" w:hAnsi="Times New Roman"/>
          <w:sz w:val="21"/>
          <w:szCs w:val="21"/>
          <w:color w:val="auto"/>
        </w:rPr>
        <w:t>Research and development expenses consist primarily of global development efforts related to high-end process technologies for advanced sub-wavelength reticle solutions for IC technologies. Research and development expenses decreased $0.3 million in Q1-15, as compared to Q1-14, primarily due to decreased activities at advanced nanometer technology nodes for IC photomasks.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Q1-15</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Q1-14</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(1.4)</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(1.3)</w:t>
            </w:r>
          </w:p>
        </w:tc>
        <w:tc>
          <w:tcPr>
            <w:tcW w:w="86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160" w:firstLine="324"/>
        <w:spacing w:after="0" w:line="239" w:lineRule="auto"/>
        <w:rPr>
          <w:sz w:val="20"/>
          <w:szCs w:val="20"/>
          <w:color w:val="auto"/>
        </w:rPr>
      </w:pPr>
      <w:r>
        <w:rPr>
          <w:rFonts w:ascii="Times New Roman" w:cs="Times New Roman" w:eastAsia="Times New Roman" w:hAnsi="Times New Roman"/>
          <w:sz w:val="22"/>
          <w:szCs w:val="22"/>
          <w:color w:val="auto"/>
        </w:rPr>
        <w:t>Interest expense decreased in Q1-15 as compared to Q1-14, due to less outstanding debt as a result of the conversion of $22.1 million of 5.50% convertible senior notes to the Company’s common stock in Q4-14. Interest and other income (expense), net decreased in Q1-15 as compared to Q1-14 primarily as a result of financing expenses related to the Company’s exchange of convertible debt in Q1-15.</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5"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19685</wp:posOffset>
            </wp:positionV>
            <wp:extent cx="16122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8120" w:val="left"/>
        </w:tabs>
        <w:rPr>
          <w:sz w:val="20"/>
          <w:szCs w:val="20"/>
          <w:color w:val="auto"/>
        </w:rPr>
      </w:pPr>
      <w:r>
        <w:rPr>
          <w:rFonts w:ascii="Times New Roman" w:cs="Times New Roman" w:eastAsia="Times New Roman" w:hAnsi="Times New Roman"/>
          <w:sz w:val="18"/>
          <w:szCs w:val="18"/>
          <w:b w:val="1"/>
          <w:bCs w:val="1"/>
          <w:color w:val="auto"/>
        </w:rPr>
        <w:t>Q1-15</w:t>
      </w:r>
      <w:r>
        <w:rPr>
          <w:sz w:val="20"/>
          <w:szCs w:val="20"/>
          <w:color w:val="auto"/>
        </w:rPr>
        <w:tab/>
      </w:r>
      <w:r>
        <w:rPr>
          <w:rFonts w:ascii="Times New Roman" w:cs="Times New Roman" w:eastAsia="Times New Roman" w:hAnsi="Times New Roman"/>
          <w:sz w:val="17"/>
          <w:szCs w:val="17"/>
          <w:b w:val="1"/>
          <w:bCs w:val="1"/>
          <w:color w:val="auto"/>
        </w:rPr>
        <w:t>Q1-14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19685</wp:posOffset>
            </wp:positionV>
            <wp:extent cx="16122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22"/>
          <w:szCs w:val="22"/>
          <w:color w:val="auto"/>
        </w:rPr>
        <w:t>The Company’s effective income tax rate is sensitive to the jurisdictional mix of earnings, due in part to the non-recognition of tax benefits on losses in jurisdictions with valuation allowances. The effective income tax rate decreased in Q1-15, as compared with Q1-14, which was primarily attributable to a lower percentage of income before income taxes generated in jurisdictions where the Company incurs losses without the recognition of tax benefits due to valuation allowances.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47"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21"/>
          <w:szCs w:val="21"/>
          <w:color w:val="auto"/>
        </w:rPr>
        <w:t>Net income attributable to noncontrolling interests was $3.3 million in Q1-15 as compared to a minor amount in Q1-14, primarily as a result of changes in the ownership structure of the Company’s IC manufacturing facility located in Taiwan. During the three month period ended May 4, 2014, the Company exchanged a 49.99% noncontrolling interest in this subsidiary in return for the net assets of an acquiree. See Notes 2 and 12 of the condensed consolidated financial statements for further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ind w:firstLine="324"/>
        <w:spacing w:after="0" w:line="234" w:lineRule="auto"/>
        <w:rPr>
          <w:sz w:val="20"/>
          <w:szCs w:val="20"/>
          <w:color w:val="auto"/>
        </w:rPr>
      </w:pPr>
      <w:r>
        <w:rPr>
          <w:rFonts w:ascii="Times New Roman" w:cs="Times New Roman" w:eastAsia="Times New Roman" w:hAnsi="Times New Roman"/>
          <w:sz w:val="22"/>
          <w:szCs w:val="22"/>
          <w:color w:val="auto"/>
        </w:rPr>
        <w:t>The Company's working capital was $143.6 million at February 1, 2015, and $197.4 million at November 2, 2014. The decrease in working capital was primarily related to planned capital equipment purchases. Cash and cash equivalents were $168.6 million at February 1, 2015 and $192.9 million at November 2, 2014. Net cash provided by operating activities was $22.3 million for the three months ended February 1, 2015, as compared to $14.2 million for the three month period ended February 2, 2014, the increase primarily due to increased net income and larger increases in accounts payable and other current liabilities, which were partially offset by increased accounts receivable related to increased revenue. Net cash used in investing activities for the three months ended February 1, 2015, was $40.3 million, which was comprised primarily of capital expenditure payments. Net cash used in financing activities of $1.6 million for the three months ended February 1, 2015, was primarily comprised of repayments of long-term borrowings. The Company may use its cash available on hand for operations, capital expenditures, debt repayments, strategic opportunities, stock repurchases or other corporate uses, any of which may be material.</w:t>
      </w:r>
    </w:p>
    <w:p>
      <w:pPr>
        <w:spacing w:after="0" w:line="19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February 1, 2015 and November 2, 2014, the Company’s total cash and cash equivalents include $89.9 million and $105.9 million, respectively, held by its foreign subsidiaries. A repatriation of these funds to the U.S., in certain jurisdictions, may be subject to U.S. federal income taxes and local country withholding tax. The majority of earnings of the Company’s foreign subsidiaries are considered to be indefinitely reinvested. The Company’s foreign subsidiaries continue to grow through the reinvestment of earnings in additional manufacturing capacity and capability, particularly in the high-end IC and FPD areas.</w:t>
      </w:r>
    </w:p>
    <w:p>
      <w:pPr>
        <w:spacing w:after="0" w:line="202" w:lineRule="exact"/>
        <w:rPr>
          <w:sz w:val="20"/>
          <w:szCs w:val="20"/>
          <w:color w:val="auto"/>
        </w:rPr>
      </w:pPr>
    </w:p>
    <w:p>
      <w:pPr>
        <w:ind w:right="120" w:firstLine="324"/>
        <w:spacing w:after="0" w:line="234" w:lineRule="auto"/>
        <w:rPr>
          <w:sz w:val="20"/>
          <w:szCs w:val="20"/>
          <w:color w:val="auto"/>
        </w:rPr>
      </w:pPr>
      <w:r>
        <w:rPr>
          <w:rFonts w:ascii="Times New Roman" w:cs="Times New Roman" w:eastAsia="Times New Roman" w:hAnsi="Times New Roman"/>
          <w:sz w:val="22"/>
          <w:szCs w:val="22"/>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93"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April 2014 the Company acquired DPTT, which was a non-cash transaction that resulted in the Company owning 50.01% and DNP owning 49.99% of PDMC, whose financial results are included in the Company’s consolidated financial statements. PDMC is expected to generate sufficient cash flows to fund its operating and capital requirements. See Note 2 of the consolidated financial statements for more information.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Company’s credit facility, which was last amended in August 2014,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February 1, 2015. The Company had no outstanding borrowings against the credit facility at February 1, 2015, and $50 million was available for borrowing. The interest rate on the credit facility (1.69% at February 1, 2015) is based on the Company’s total leverage ratio at LIBOR plus a spread, as defined in the credit facility.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January 2014 the Company acquired all of the 3.0 million shares of PSMC that were then held by noncontrolling interests at a cost of $1.7 million.</w:t>
      </w:r>
    </w:p>
    <w:p>
      <w:pPr>
        <w:spacing w:after="0" w:line="22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As of February 1, 2015, the Company had capital equipment commitments outstanding of approximately $16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11"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February 1, 2015, the Company has contributed $32.5 million to the joint venture, and has received distributions from the joint venture totaling $10.0 million.</w:t>
      </w:r>
    </w:p>
    <w:p>
      <w:pPr>
        <w:spacing w:after="0" w:line="20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PDMC joint venture operating agreement the shareholders of PDMC may be requested to make additional contributions to PDMC. In the event that PDMC requests additional capital from its shareholders, the Company may be required to make additional capital contributions to the joint venture in order to maintain its 50.01% ownership. The PDMC operating agreement limits the amount of contributions that may be requested during both PDMC’s first four years and during any individual year within those first four years.</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47"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22"/>
          <w:szCs w:val="22"/>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40" w:firstLine="324"/>
        <w:spacing w:after="0" w:line="239" w:lineRule="auto"/>
        <w:rPr>
          <w:sz w:val="20"/>
          <w:szCs w:val="20"/>
          <w:color w:val="auto"/>
        </w:rPr>
      </w:pPr>
      <w:r>
        <w:rPr>
          <w:rFonts w:ascii="Times New Roman" w:cs="Times New Roman" w:eastAsia="Times New Roman" w:hAnsi="Times New Roman"/>
          <w:sz w:val="22"/>
          <w:szCs w:val="22"/>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5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 Update ("ASU") 2014-09 – Revenue from Contracts with Customers, which will supersede nearly all existing revenue recognition guidance under U.S. GAAP.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This ASU will be effective for the Company in its first quarter of fiscal 2018. Early adoption is not permitted. The ASU allows for either full retrospective or modified retrospective adoption. The Company is evaluating the transition method that will be elected and the potential effects of the adoption of this ASU on its financial statements.</w:t>
      </w:r>
    </w:p>
    <w:p>
      <w:pPr>
        <w:spacing w:after="0" w:line="21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However, in some instances, the Company sells products in a currency other than the functional currency of the country where it was produced or purchases products in a currency that differs from the functional currency of the purchasing manufacturing facility. There can be no assurance that this approach will continue to be successful, especially in the event of a significant adverse movement in the value of any foreign currency against the U.S. dollar.</w:t>
      </w:r>
    </w:p>
    <w:p>
      <w:pPr>
        <w:spacing w:after="0" w:line="21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Company's primary net foreign currency exposures as of February 1, 2015, included the Korean won, the Japanese yen, the New Taiwan dollar, the Singapore dollar, the British pound, and the euro. As of February 1, 2015, a 10% adverse movement in the value of these currencies against the U.S. dollar would have resulted in a net unrealized pre-tax loss of $3.1 million. The Company does not believe that a 10% change in the exchange rates of other non-U.S. dollar currencies would have a material effect on its consolidated financial position,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At February 1, 2015, the Company did not have any variable rate borrowings. A 10% change in interest rates would not have had a material effect on the Company’s consolidated financial position, results of operations, or cash flows in the three month period ended February 1, 2015.</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7" w:lineRule="exact"/>
        <w:rPr>
          <w:sz w:val="20"/>
          <w:szCs w:val="20"/>
          <w:color w:val="auto"/>
        </w:rPr>
      </w:pPr>
    </w:p>
    <w:p>
      <w:pPr>
        <w:ind w:right="420" w:firstLine="324"/>
        <w:spacing w:after="0" w:line="244" w:lineRule="auto"/>
        <w:rPr>
          <w:sz w:val="20"/>
          <w:szCs w:val="20"/>
          <w:color w:val="auto"/>
        </w:rPr>
      </w:pPr>
      <w:r>
        <w:rPr>
          <w:rFonts w:ascii="Times New Roman" w:cs="Times New Roman" w:eastAsia="Times New Roman" w:hAnsi="Times New Roman"/>
          <w:sz w:val="22"/>
          <w:szCs w:val="22"/>
          <w:color w:val="auto"/>
        </w:rPr>
        <w:t>There was no change in the Company's internal control over financial reporting during the Company's first quarter of fiscal 2015 that has materially affected, or is reasonably likely to materially affect, the Company's internal control over financial reporting.</w:t>
      </w:r>
    </w:p>
    <w:p>
      <w:pPr>
        <w:spacing w:after="0" w:line="200" w:lineRule="exact"/>
        <w:rPr>
          <w:sz w:val="20"/>
          <w:szCs w:val="20"/>
          <w:color w:val="auto"/>
        </w:rPr>
      </w:pPr>
    </w:p>
    <w:p>
      <w:pPr>
        <w:spacing w:after="0" w:line="2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risks relating to the Company's business as disclosed in Part 1, Item 1A of the Company's Form 10-K for the year ended November 2, 2014</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i w:val="1"/>
          <w:iCs w:val="1"/>
          <w:u w:val="single" w:color="auto"/>
          <w:color w:val="0000EE"/>
        </w:rPr>
      </w:pPr>
      <w:hyperlink w:anchor="page3">
        <w:r>
          <w:rPr>
            <w:rFonts w:ascii="Times New Roman" w:cs="Times New Roman" w:eastAsia="Times New Roman" w:hAnsi="Times New Roman"/>
            <w:sz w:val="14"/>
            <w:szCs w:val="14"/>
            <w:b w:val="1"/>
            <w:bCs w:val="1"/>
            <w:i w:val="1"/>
            <w:iCs w:val="1"/>
            <w:u w:val="single" w:color="auto"/>
            <w:color w:val="0000EE"/>
          </w:rPr>
          <w:t>Index</w:t>
        </w:r>
      </w:hyperlink>
    </w:p>
    <w:p>
      <w:pPr>
        <w:spacing w:after="0" w:line="16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300" w:type="dxa"/>
            <w:vAlign w:val="bottom"/>
          </w:tcPr>
          <w:p>
            <w:pPr>
              <w:spacing w:after="0"/>
              <w:rPr>
                <w:sz w:val="20"/>
                <w:szCs w:val="20"/>
                <w:color w:val="auto"/>
              </w:rPr>
            </w:pPr>
          </w:p>
        </w:tc>
      </w:tr>
      <w:tr>
        <w:trPr>
          <w:trHeight w:val="392"/>
        </w:trPr>
        <w:tc>
          <w:tcPr>
            <w:tcW w:w="276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198"/>
        </w:trPr>
        <w:tc>
          <w:tcPr>
            <w:tcW w:w="2760" w:type="dxa"/>
            <w:vAlign w:val="bottom"/>
          </w:tcPr>
          <w:p>
            <w:pPr>
              <w:spacing w:after="0"/>
              <w:rPr>
                <w:sz w:val="17"/>
                <w:szCs w:val="17"/>
                <w:color w:val="auto"/>
              </w:rPr>
            </w:pPr>
          </w:p>
        </w:tc>
        <w:tc>
          <w:tcPr>
            <w:tcW w:w="1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7600" w:type="dxa"/>
            <w:vAlign w:val="bottom"/>
            <w:gridSpan w:val="3"/>
          </w:tcPr>
          <w:p>
            <w:pPr>
              <w:ind w:left="400"/>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7"/>
        </w:trPr>
        <w:tc>
          <w:tcPr>
            <w:tcW w:w="27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300" w:type="dxa"/>
            <w:vAlign w:val="bottom"/>
          </w:tcPr>
          <w:p>
            <w:pPr>
              <w:spacing w:after="0"/>
              <w:rPr>
                <w:sz w:val="20"/>
                <w:szCs w:val="20"/>
                <w:color w:val="auto"/>
              </w:rPr>
            </w:pPr>
          </w:p>
        </w:tc>
      </w:tr>
      <w:tr>
        <w:trPr>
          <w:trHeight w:val="176"/>
        </w:trPr>
        <w:tc>
          <w:tcPr>
            <w:tcW w:w="27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420" w:type="dxa"/>
            <w:vAlign w:val="bottom"/>
            <w:shd w:val="clear" w:color="auto" w:fill="CCEEFF"/>
          </w:tcPr>
          <w:p>
            <w:pPr>
              <w:spacing w:after="0"/>
              <w:rPr>
                <w:sz w:val="15"/>
                <w:szCs w:val="15"/>
                <w:color w:val="auto"/>
              </w:rPr>
            </w:pPr>
          </w:p>
        </w:tc>
        <w:tc>
          <w:tcPr>
            <w:tcW w:w="7600" w:type="dxa"/>
            <w:vAlign w:val="bottom"/>
            <w:gridSpan w:val="3"/>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r>
      <w:tr>
        <w:trPr>
          <w:trHeight w:val="218"/>
        </w:trPr>
        <w:tc>
          <w:tcPr>
            <w:tcW w:w="2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the Securities Exchange Act of 1934, as adopted pursuant to Section 302 of</w:t>
            </w:r>
          </w:p>
        </w:tc>
      </w:tr>
      <w:tr>
        <w:trPr>
          <w:trHeight w:val="234"/>
        </w:trPr>
        <w:tc>
          <w:tcPr>
            <w:tcW w:w="2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176"/>
        </w:trPr>
        <w:tc>
          <w:tcPr>
            <w:tcW w:w="27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420" w:type="dxa"/>
            <w:vAlign w:val="bottom"/>
            <w:shd w:val="clear" w:color="auto" w:fill="CCEEFF"/>
          </w:tcPr>
          <w:p>
            <w:pPr>
              <w:spacing w:after="0"/>
              <w:rPr>
                <w:sz w:val="15"/>
                <w:szCs w:val="15"/>
                <w:color w:val="auto"/>
              </w:rPr>
            </w:pPr>
          </w:p>
        </w:tc>
        <w:tc>
          <w:tcPr>
            <w:tcW w:w="7600" w:type="dxa"/>
            <w:vAlign w:val="bottom"/>
            <w:gridSpan w:val="3"/>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r>
      <w:tr>
        <w:trPr>
          <w:trHeight w:val="218"/>
        </w:trPr>
        <w:tc>
          <w:tcPr>
            <w:tcW w:w="2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0" w:type="dxa"/>
            <w:vAlign w:val="bottom"/>
            <w:tcBorders>
              <w:top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the Securities Exchange Act of 1934, as adopted pursuant to Section 302 of</w:t>
            </w:r>
          </w:p>
        </w:tc>
      </w:tr>
      <w:tr>
        <w:trPr>
          <w:trHeight w:val="234"/>
        </w:trPr>
        <w:tc>
          <w:tcPr>
            <w:tcW w:w="2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176"/>
        </w:trPr>
        <w:tc>
          <w:tcPr>
            <w:tcW w:w="27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420" w:type="dxa"/>
            <w:vAlign w:val="bottom"/>
            <w:shd w:val="clear" w:color="auto" w:fill="CCEEFF"/>
          </w:tcPr>
          <w:p>
            <w:pPr>
              <w:spacing w:after="0"/>
              <w:rPr>
                <w:sz w:val="15"/>
                <w:szCs w:val="15"/>
                <w:color w:val="auto"/>
              </w:rPr>
            </w:pPr>
          </w:p>
        </w:tc>
        <w:tc>
          <w:tcPr>
            <w:tcW w:w="7600" w:type="dxa"/>
            <w:vAlign w:val="bottom"/>
            <w:gridSpan w:val="3"/>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r>
      <w:tr>
        <w:trPr>
          <w:trHeight w:val="237"/>
        </w:trPr>
        <w:tc>
          <w:tcPr>
            <w:tcW w:w="27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7600" w:type="dxa"/>
            <w:vAlign w:val="bottom"/>
            <w:tcBorders>
              <w:top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176"/>
        </w:trPr>
        <w:tc>
          <w:tcPr>
            <w:tcW w:w="27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420" w:type="dxa"/>
            <w:vAlign w:val="bottom"/>
            <w:shd w:val="clear" w:color="auto" w:fill="CCEEFF"/>
          </w:tcPr>
          <w:p>
            <w:pPr>
              <w:spacing w:after="0"/>
              <w:rPr>
                <w:sz w:val="15"/>
                <w:szCs w:val="15"/>
                <w:color w:val="auto"/>
              </w:rPr>
            </w:pPr>
          </w:p>
        </w:tc>
        <w:tc>
          <w:tcPr>
            <w:tcW w:w="7600" w:type="dxa"/>
            <w:vAlign w:val="bottom"/>
            <w:gridSpan w:val="3"/>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r>
      <w:tr>
        <w:trPr>
          <w:trHeight w:val="237"/>
        </w:trPr>
        <w:tc>
          <w:tcPr>
            <w:tcW w:w="27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7600" w:type="dxa"/>
            <w:vAlign w:val="bottom"/>
            <w:tcBorders>
              <w:top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76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1697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jc w:val="center"/>
        <w:ind w:right="6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Constantine S. Macricostas, certify that:</w:t>
      </w:r>
    </w:p>
    <w:p>
      <w:pPr>
        <w:spacing w:after="0" w:line="252"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60" w:right="720" w:hanging="466"/>
        <w:spacing w:after="0" w:line="313" w:lineRule="auto"/>
        <w:tabs>
          <w:tab w:leader="none" w:pos="9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80" w:right="280" w:hanging="486"/>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2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000" w:right="680" w:hanging="506"/>
        <w:spacing w:after="0" w:line="313" w:lineRule="auto"/>
        <w:tabs>
          <w:tab w:leader="none" w:pos="10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1000" w:right="260" w:hanging="506"/>
        <w:spacing w:after="0" w:line="266" w:lineRule="auto"/>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60" w:right="180" w:hanging="466"/>
        <w:spacing w:after="0" w:line="282" w:lineRule="auto"/>
        <w:tabs>
          <w:tab w:leader="none" w:pos="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Constantine S. Macricostas, Chief Executive Officer of Photronics, Inc. (the "Company"), certify, to my knowledge,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234" w:lineRule="exact"/>
        <w:rPr>
          <w:sz w:val="20"/>
          <w:szCs w:val="20"/>
          <w:color w:val="auto"/>
        </w:rPr>
      </w:pPr>
    </w:p>
    <w:p>
      <w:pPr>
        <w:ind w:left="840" w:right="80" w:hanging="832"/>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February 1, 2015,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Constantine S.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Sean T. Smith, Chief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840" w:right="80" w:hanging="832"/>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February 1, 2015,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478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2019-12-29T18:11:28Z</dcterms:created>
  <dcterms:modified xsi:type="dcterms:W3CDTF">2019-12-29T18:11:28Z</dcterms:modified>
</cp:coreProperties>
</file>